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0D02EC6A" w14:textId="77777777" w:rsidTr="00A357CC">
        <w:tc>
          <w:tcPr>
            <w:tcW w:w="4747" w:type="dxa"/>
          </w:tcPr>
          <w:p w14:paraId="0D02EC6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D02EC6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D02EC6D" w14:textId="77777777" w:rsidTr="00A357CC">
        <w:tc>
          <w:tcPr>
            <w:tcW w:w="4747" w:type="dxa"/>
          </w:tcPr>
          <w:p w14:paraId="0D02EC6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D02EC6C" w14:textId="73D3507B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3C25B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3C25B2">
              <w:rPr>
                <w:rFonts w:ascii="Times New Roman" w:hAnsi="Times New Roman"/>
                <w:spacing w:val="20"/>
                <w:sz w:val="24"/>
                <w:szCs w:val="24"/>
              </w:rPr>
              <w:t>23.05.2025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3C25B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3C25B2">
              <w:rPr>
                <w:rFonts w:ascii="Times New Roman" w:hAnsi="Times New Roman"/>
                <w:spacing w:val="20"/>
                <w:sz w:val="24"/>
                <w:szCs w:val="24"/>
              </w:rPr>
              <w:t>1-4/25/241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D02EC70" w14:textId="77777777" w:rsidTr="00A357CC">
        <w:tc>
          <w:tcPr>
            <w:tcW w:w="4747" w:type="dxa"/>
          </w:tcPr>
          <w:p w14:paraId="0D02EC6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D02EC6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D02EC73" w14:textId="77777777" w:rsidTr="00A357CC">
        <w:tc>
          <w:tcPr>
            <w:tcW w:w="4747" w:type="dxa"/>
          </w:tcPr>
          <w:p w14:paraId="0D02EC7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D02EC7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D02EC76" w14:textId="77777777" w:rsidTr="00A357CC">
        <w:tc>
          <w:tcPr>
            <w:tcW w:w="4747" w:type="dxa"/>
          </w:tcPr>
          <w:p w14:paraId="0D02EC74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0D02EC7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D02EC7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2EC7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04"/>
      </w:tblGrid>
      <w:tr w:rsidR="00772CF5" w14:paraId="0D02EC7A" w14:textId="77777777" w:rsidTr="004B3B8E">
        <w:trPr>
          <w:gridAfter w:val="1"/>
          <w:wAfter w:w="4604" w:type="dxa"/>
        </w:trPr>
        <w:tc>
          <w:tcPr>
            <w:tcW w:w="4786" w:type="dxa"/>
          </w:tcPr>
          <w:p w14:paraId="0D02EC7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0D02EC7C" w14:textId="77777777" w:rsidTr="004B3B8E">
        <w:trPr>
          <w:gridAfter w:val="1"/>
          <w:wAfter w:w="4604" w:type="dxa"/>
        </w:trPr>
        <w:tc>
          <w:tcPr>
            <w:tcW w:w="4786" w:type="dxa"/>
          </w:tcPr>
          <w:p w14:paraId="0D02EC7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D02EC7E" w14:textId="77777777" w:rsidTr="004B3B8E">
        <w:trPr>
          <w:gridAfter w:val="1"/>
          <w:wAfter w:w="4604" w:type="dxa"/>
        </w:trPr>
        <w:tc>
          <w:tcPr>
            <w:tcW w:w="4786" w:type="dxa"/>
          </w:tcPr>
          <w:p w14:paraId="0D02EC7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D02EC81" w14:textId="77777777" w:rsidTr="004B3B8E">
        <w:trPr>
          <w:gridAfter w:val="1"/>
          <w:wAfter w:w="4604" w:type="dxa"/>
        </w:trPr>
        <w:tc>
          <w:tcPr>
            <w:tcW w:w="4786" w:type="dxa"/>
          </w:tcPr>
          <w:p w14:paraId="0D02EC80" w14:textId="4077D85A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3C25B2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3C25B2">
              <w:rPr>
                <w:rFonts w:ascii="Times New Roman" w:hAnsi="Times New Roman"/>
                <w:b/>
                <w:sz w:val="24"/>
                <w:szCs w:val="24"/>
              </w:rPr>
              <w:t>Tapa Vallavolikogu 24.04.2025 otsuse nr 188 muutmine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772CF5" w14:paraId="0D02EC84" w14:textId="77777777" w:rsidTr="004B3B8E">
        <w:trPr>
          <w:gridAfter w:val="1"/>
          <w:wAfter w:w="4604" w:type="dxa"/>
        </w:trPr>
        <w:tc>
          <w:tcPr>
            <w:tcW w:w="4786" w:type="dxa"/>
          </w:tcPr>
          <w:p w14:paraId="0D02EC8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02EC8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D02EC86" w14:textId="77777777" w:rsidTr="004B3B8E">
        <w:tc>
          <w:tcPr>
            <w:tcW w:w="9390" w:type="dxa"/>
            <w:gridSpan w:val="2"/>
          </w:tcPr>
          <w:p w14:paraId="16879D3D" w14:textId="77777777" w:rsidR="004B3B8E" w:rsidRPr="004B3B8E" w:rsidRDefault="004B3B8E" w:rsidP="004B3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A7E368" w14:textId="7DFA5FF4" w:rsidR="004B3B8E" w:rsidRPr="004B3B8E" w:rsidRDefault="004B3B8E" w:rsidP="004B3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B8E">
              <w:rPr>
                <w:rFonts w:ascii="Times New Roman" w:hAnsi="Times New Roman"/>
                <w:sz w:val="24"/>
                <w:szCs w:val="24"/>
              </w:rPr>
              <w:t xml:space="preserve">Tapa Vallavolikogu 24.04.2025 otsusega nr 188 </w:t>
            </w:r>
            <w:r w:rsidR="00EF7FF9">
              <w:rPr>
                <w:rFonts w:ascii="Times New Roman" w:hAnsi="Times New Roman"/>
                <w:sz w:val="24"/>
                <w:szCs w:val="24"/>
              </w:rPr>
              <w:t xml:space="preserve">„Vallavara võõrandamine otsustuskorras“ </w:t>
            </w:r>
            <w:r w:rsidRPr="004B3B8E">
              <w:rPr>
                <w:rFonts w:ascii="Times New Roman" w:hAnsi="Times New Roman"/>
                <w:sz w:val="24"/>
                <w:szCs w:val="24"/>
              </w:rPr>
              <w:t xml:space="preserve">anti Tapa Vallavalitsusele volitus võõrandada otsustuskorras ½ mõtte suurune mõtteline osa </w:t>
            </w:r>
            <w:proofErr w:type="spellStart"/>
            <w:r w:rsidRPr="004B3B8E">
              <w:rPr>
                <w:rFonts w:ascii="Times New Roman" w:hAnsi="Times New Roman"/>
                <w:sz w:val="24"/>
                <w:szCs w:val="24"/>
              </w:rPr>
              <w:t>Vajangu</w:t>
            </w:r>
            <w:proofErr w:type="spellEnd"/>
            <w:r w:rsidRPr="004B3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B8E">
              <w:rPr>
                <w:rFonts w:ascii="Times New Roman" w:hAnsi="Times New Roman"/>
                <w:sz w:val="24"/>
                <w:szCs w:val="24"/>
              </w:rPr>
              <w:t>Eakatekodu</w:t>
            </w:r>
            <w:proofErr w:type="spellEnd"/>
            <w:r w:rsidRPr="004B3B8E">
              <w:rPr>
                <w:rFonts w:ascii="Times New Roman" w:hAnsi="Times New Roman"/>
                <w:sz w:val="24"/>
                <w:szCs w:val="24"/>
              </w:rPr>
              <w:t xml:space="preserve"> OÜ-le (registrikood 11357981) Tapa vallale kuuluvast kinnistust, asukohaga </w:t>
            </w:r>
            <w:proofErr w:type="spellStart"/>
            <w:r w:rsidRPr="004B3B8E">
              <w:rPr>
                <w:rFonts w:ascii="Times New Roman" w:hAnsi="Times New Roman"/>
                <w:sz w:val="24"/>
                <w:szCs w:val="24"/>
              </w:rPr>
              <w:t>Vajangu</w:t>
            </w:r>
            <w:proofErr w:type="spellEnd"/>
            <w:r w:rsidRPr="004B3B8E">
              <w:rPr>
                <w:rFonts w:ascii="Times New Roman" w:hAnsi="Times New Roman"/>
                <w:sz w:val="24"/>
                <w:szCs w:val="24"/>
              </w:rPr>
              <w:t xml:space="preserve"> küla, Kooli tn 7 (katastritunnus 787002:001:0084). Tapa Vallavolikogu 24.04.2025 otsuses nr 188 oli määratletud kinnistu ja hoone I korruse kasutuskord, kuid ei olnud määratletud hoone soklikorruse kasutuskorda.  </w:t>
            </w:r>
            <w:proofErr w:type="spellStart"/>
            <w:r w:rsidRPr="004B3B8E">
              <w:rPr>
                <w:rFonts w:ascii="Times New Roman" w:hAnsi="Times New Roman"/>
                <w:sz w:val="24"/>
                <w:szCs w:val="24"/>
              </w:rPr>
              <w:t>Vajangu</w:t>
            </w:r>
            <w:proofErr w:type="spellEnd"/>
            <w:r w:rsidRPr="004B3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B8E">
              <w:rPr>
                <w:rFonts w:ascii="Times New Roman" w:hAnsi="Times New Roman"/>
                <w:sz w:val="24"/>
                <w:szCs w:val="24"/>
              </w:rPr>
              <w:t>Eakatekodu</w:t>
            </w:r>
            <w:proofErr w:type="spellEnd"/>
            <w:r w:rsidRPr="004B3B8E">
              <w:rPr>
                <w:rFonts w:ascii="Times New Roman" w:hAnsi="Times New Roman"/>
                <w:sz w:val="24"/>
                <w:szCs w:val="24"/>
              </w:rPr>
              <w:t xml:space="preserve"> OÜ </w:t>
            </w:r>
            <w:r w:rsidR="00EF7FF9">
              <w:rPr>
                <w:rFonts w:ascii="Times New Roman" w:hAnsi="Times New Roman"/>
                <w:sz w:val="24"/>
                <w:szCs w:val="24"/>
              </w:rPr>
              <w:t xml:space="preserve">esitas 22.05.2025 </w:t>
            </w:r>
            <w:r w:rsidRPr="004B3B8E">
              <w:rPr>
                <w:rFonts w:ascii="Times New Roman" w:hAnsi="Times New Roman"/>
                <w:sz w:val="24"/>
                <w:szCs w:val="24"/>
              </w:rPr>
              <w:t xml:space="preserve"> Tapa Vallavalitsusele </w:t>
            </w:r>
            <w:r w:rsidR="00EF7FF9" w:rsidRPr="004B3B8E">
              <w:rPr>
                <w:rFonts w:ascii="Times New Roman" w:hAnsi="Times New Roman"/>
                <w:sz w:val="24"/>
                <w:szCs w:val="24"/>
              </w:rPr>
              <w:t xml:space="preserve">taotluse </w:t>
            </w:r>
            <w:r w:rsidR="00EF7FF9">
              <w:rPr>
                <w:rFonts w:ascii="Times New Roman" w:hAnsi="Times New Roman"/>
                <w:sz w:val="24"/>
                <w:szCs w:val="24"/>
              </w:rPr>
              <w:t>(</w:t>
            </w:r>
            <w:r w:rsidRPr="004B3B8E">
              <w:rPr>
                <w:rFonts w:ascii="Times New Roman" w:hAnsi="Times New Roman"/>
                <w:sz w:val="24"/>
                <w:szCs w:val="24"/>
              </w:rPr>
              <w:t>nr 4-8/25/1032-1</w:t>
            </w:r>
            <w:r w:rsidR="00EF7FF9">
              <w:rPr>
                <w:rFonts w:ascii="Times New Roman" w:hAnsi="Times New Roman"/>
                <w:sz w:val="24"/>
                <w:szCs w:val="24"/>
              </w:rPr>
              <w:t>) leppida kokku ka soklikorruse ruumide kasutuskorras.</w:t>
            </w:r>
          </w:p>
          <w:p w14:paraId="22CBFA1B" w14:textId="77777777" w:rsidR="004B3B8E" w:rsidRPr="004B3B8E" w:rsidRDefault="004B3B8E" w:rsidP="004B3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EC585E" w14:textId="2E17C64F" w:rsidR="00FC04B9" w:rsidRPr="00216C4E" w:rsidRDefault="00414E3C" w:rsidP="004B3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C4E">
              <w:rPr>
                <w:rFonts w:ascii="Times New Roman" w:hAnsi="Times New Roman"/>
                <w:sz w:val="24"/>
                <w:szCs w:val="24"/>
              </w:rPr>
              <w:t xml:space="preserve">Tulenevalt eelpool nimetatud asjaolust ja lähtudes </w:t>
            </w:r>
            <w:r w:rsidR="00FC04B9" w:rsidRPr="00216C4E">
              <w:rPr>
                <w:rFonts w:ascii="Times New Roman" w:hAnsi="Times New Roman"/>
                <w:sz w:val="24"/>
                <w:szCs w:val="24"/>
              </w:rPr>
              <w:t>haldusmenetluse seaduse § 64 lg 1 ja § 65 lg 1 ja 2:</w:t>
            </w:r>
          </w:p>
          <w:p w14:paraId="7F6752F3" w14:textId="77777777" w:rsidR="00FC04B9" w:rsidRPr="00216C4E" w:rsidRDefault="00FC04B9" w:rsidP="004B3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4691E3" w14:textId="1B15E5D1" w:rsidR="004B3B8E" w:rsidRPr="00216C4E" w:rsidRDefault="00FC04B9" w:rsidP="00FC04B9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C4E">
              <w:rPr>
                <w:rFonts w:ascii="Times New Roman" w:hAnsi="Times New Roman"/>
                <w:sz w:val="24"/>
                <w:szCs w:val="24"/>
              </w:rPr>
              <w:t>M</w:t>
            </w:r>
            <w:r w:rsidR="004B3B8E" w:rsidRPr="00216C4E">
              <w:rPr>
                <w:rFonts w:ascii="Times New Roman" w:hAnsi="Times New Roman"/>
                <w:sz w:val="24"/>
                <w:szCs w:val="24"/>
              </w:rPr>
              <w:t xml:space="preserve">uuta </w: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t>Tapa Vallavolikogu 24.04.2025 otsus</w:t>
            </w:r>
            <w:r w:rsidRPr="00216C4E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t xml:space="preserve"> nr 188 „</w: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="003C25B2">
              <w:rPr>
                <w:rFonts w:ascii="Times New Roman" w:hAnsi="Times New Roman"/>
                <w:bCs/>
                <w:sz w:val="24"/>
                <w:szCs w:val="24"/>
              </w:rPr>
              <w:instrText xml:space="preserve"> delta_docName  \* MERGEFORMAT</w:instrTex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3C25B2">
              <w:rPr>
                <w:rFonts w:ascii="Times New Roman" w:hAnsi="Times New Roman"/>
                <w:bCs/>
                <w:sz w:val="24"/>
                <w:szCs w:val="24"/>
              </w:rPr>
              <w:t>Tapa Vallavolikogu 24.04.2025 otsuse nr 188 muutmine</w:t>
            </w:r>
            <w:r w:rsidR="004B3B8E" w:rsidRPr="00216C4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="004B3B8E" w:rsidRPr="00216C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3607" w:rsidRPr="00216C4E">
              <w:rPr>
                <w:rFonts w:ascii="Times New Roman" w:hAnsi="Times New Roman"/>
                <w:bCs/>
                <w:sz w:val="24"/>
                <w:szCs w:val="24"/>
              </w:rPr>
              <w:t>punkte 2</w:t>
            </w:r>
            <w:r w:rsidR="00EF7D6B" w:rsidRPr="00216C4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03607" w:rsidRPr="00216C4E">
              <w:rPr>
                <w:rFonts w:ascii="Times New Roman" w:hAnsi="Times New Roman"/>
                <w:bCs/>
                <w:sz w:val="24"/>
                <w:szCs w:val="24"/>
              </w:rPr>
              <w:t xml:space="preserve">3-2.5 </w: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t xml:space="preserve">ja sõnastada </w:t>
            </w:r>
            <w:r w:rsidR="00A03607" w:rsidRPr="00216C4E">
              <w:rPr>
                <w:rFonts w:ascii="Times New Roman" w:hAnsi="Times New Roman"/>
                <w:bCs/>
                <w:sz w:val="24"/>
                <w:szCs w:val="24"/>
              </w:rPr>
              <w:t>need</w:t>
            </w:r>
            <w:r w:rsidR="004B3B8E" w:rsidRPr="00216C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B3B8E" w:rsidRPr="00216C4E">
              <w:rPr>
                <w:rFonts w:ascii="Times New Roman" w:hAnsi="Times New Roman"/>
                <w:sz w:val="24"/>
                <w:szCs w:val="24"/>
              </w:rPr>
              <w:t xml:space="preserve"> järgmiselt: </w:t>
            </w:r>
          </w:p>
          <w:p w14:paraId="43A6B18B" w14:textId="77777777" w:rsidR="00A03607" w:rsidRPr="00192F33" w:rsidRDefault="00A03607" w:rsidP="00A036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38F171" w14:textId="0DA7D791" w:rsidR="00EF7D6B" w:rsidRPr="004B3B8E" w:rsidRDefault="00EF7D6B" w:rsidP="006906DF">
            <w:pPr>
              <w:tabs>
                <w:tab w:val="left" w:pos="5387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„2.3 </w:t>
            </w:r>
            <w:proofErr w:type="spellStart"/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Vajangu</w:t>
            </w:r>
            <w:proofErr w:type="spellEnd"/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proofErr w:type="spellStart"/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Eakatekodu</w:t>
            </w:r>
            <w:proofErr w:type="spellEnd"/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OÜ ainuvaldusesse ja -kasutusse jäävad kinnistul paikneva hoone </w:t>
            </w:r>
            <w:r w:rsidRPr="004B3B8E">
              <w:rPr>
                <w:rFonts w:ascii="Times New Roman" w:hAnsi="Times New Roman"/>
                <w:color w:val="EE0000"/>
                <w:sz w:val="24"/>
                <w:szCs w:val="24"/>
              </w:rPr>
              <w:t xml:space="preserve">I korruse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ruumid, mis on otsuse Lisaks 2 oleval hoone plaanil tähistatud punase joonega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ja hoone</w:t>
            </w:r>
            <w:r w:rsidRPr="004B3B8E">
              <w:rPr>
                <w:rFonts w:ascii="Times New Roman" w:hAnsi="Times New Roman"/>
                <w:color w:val="EE0000"/>
                <w:sz w:val="24"/>
                <w:szCs w:val="24"/>
              </w:rPr>
              <w:t xml:space="preserve"> soklikorruse ruumid, mis on otsuse Lisaks 3 oleval hoone plaanil tähistatud punase joonega;</w:t>
            </w:r>
            <w:r>
              <w:rPr>
                <w:rFonts w:ascii="Times New Roman" w:hAnsi="Times New Roman"/>
                <w:color w:val="EE0000"/>
                <w:sz w:val="24"/>
                <w:szCs w:val="24"/>
              </w:rPr>
              <w:t>“;</w:t>
            </w:r>
          </w:p>
          <w:p w14:paraId="4E664A2B" w14:textId="714760FC" w:rsidR="00A03607" w:rsidRPr="00A03607" w:rsidRDefault="00EF7D6B" w:rsidP="006906DF">
            <w:pPr>
              <w:tabs>
                <w:tab w:val="left" w:pos="5387"/>
              </w:tabs>
              <w:spacing w:after="0" w:line="240" w:lineRule="auto"/>
              <w:ind w:left="1080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</w:p>
          <w:p w14:paraId="27F3E879" w14:textId="44853E02" w:rsidR="00792D1C" w:rsidRPr="0019153A" w:rsidRDefault="00792D1C" w:rsidP="00444E24">
            <w:pPr>
              <w:tabs>
                <w:tab w:val="left" w:pos="5387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„2.4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Tapa valla ainuvaldusesse ja -kasutusse jäävad kinnistul paikneva hoone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I korruse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ruumid, mis on otsuse Lisaks 2 oleval hoone plaanil tähistatud rohelise joonega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ja </w:t>
            </w:r>
            <w:r w:rsidRPr="004B3B8E">
              <w:rPr>
                <w:rFonts w:ascii="Times New Roman" w:hAnsi="Times New Roman"/>
                <w:color w:val="EE0000"/>
                <w:sz w:val="24"/>
                <w:szCs w:val="24"/>
              </w:rPr>
              <w:t>soklikorruse ruumid, mis on otsuse Lisaks 3 oleval hoone plaanil tähistatud rohelise joonega;</w:t>
            </w:r>
            <w:r w:rsidR="00444E24">
              <w:rPr>
                <w:rFonts w:ascii="Times New Roman" w:hAnsi="Times New Roman"/>
                <w:color w:val="EE0000"/>
                <w:sz w:val="24"/>
                <w:szCs w:val="24"/>
              </w:rPr>
              <w:t>“;</w:t>
            </w:r>
          </w:p>
          <w:p w14:paraId="45382345" w14:textId="532A2F57" w:rsidR="00A03607" w:rsidRPr="00A03607" w:rsidRDefault="00A03607" w:rsidP="006906D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14:paraId="15ADEB21" w14:textId="23AC0EDC" w:rsidR="00A03607" w:rsidRPr="00A03607" w:rsidRDefault="00AB2F17" w:rsidP="006906DF">
            <w:pPr>
              <w:spacing w:after="0" w:line="240" w:lineRule="auto"/>
              <w:ind w:left="70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„2.5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otsuse Lisal 1 sinise joonega tähistatud maa-ala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,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otsuse Lisal 2 </w:t>
            </w:r>
            <w:r w:rsidR="00B502C8">
              <w:rPr>
                <w:rFonts w:ascii="Times New Roman" w:eastAsiaTheme="minorHAnsi" w:hAnsi="Times New Roman" w:cstheme="minorBidi"/>
                <w:sz w:val="24"/>
                <w:szCs w:val="24"/>
              </w:rPr>
              <w:t>sinise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joonega tähistatud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I korruse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ruumid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ja otsuse </w:t>
            </w:r>
            <w:r w:rsidRPr="00FD53CE">
              <w:rPr>
                <w:rFonts w:ascii="Times New Roman" w:eastAsiaTheme="minorHAnsi" w:hAnsi="Times New Roman" w:cstheme="minorBidi"/>
                <w:color w:val="EE0000"/>
                <w:sz w:val="24"/>
                <w:szCs w:val="24"/>
              </w:rPr>
              <w:t xml:space="preserve">Lisal 3 sinise joonega tähistatud soklikorruse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ruumid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jäävad </w:t>
            </w:r>
            <w:proofErr w:type="spellStart"/>
            <w:r w:rsidR="009A7681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Vajangu</w:t>
            </w:r>
            <w:proofErr w:type="spellEnd"/>
            <w:r w:rsidR="009A7681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proofErr w:type="spellStart"/>
            <w:r w:rsidR="009A7681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Eakatekodu</w:t>
            </w:r>
            <w:proofErr w:type="spellEnd"/>
            <w:r w:rsidR="009A7681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A03607" w:rsidRPr="00A03607">
              <w:rPr>
                <w:rFonts w:ascii="Times New Roman" w:eastAsiaTheme="minorHAnsi" w:hAnsi="Times New Roman" w:cstheme="minorBidi"/>
                <w:sz w:val="24"/>
                <w:szCs w:val="24"/>
              </w:rPr>
              <w:t>OÜ ja Tapa valla kui kaasomanike ühiskasutusse;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“</w:t>
            </w:r>
            <w:r w:rsidR="00444E24"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</w:p>
          <w:p w14:paraId="75C7C385" w14:textId="77777777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02EC85" w14:textId="4ECC7D5E" w:rsidR="004B3B8E" w:rsidRDefault="00C317D8" w:rsidP="00C317D8">
            <w:pPr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Otsus jõustub teatavakstegemisest.</w:t>
            </w:r>
          </w:p>
        </w:tc>
      </w:tr>
      <w:tr w:rsidR="00A357CC" w14:paraId="0D02EC88" w14:textId="77777777" w:rsidTr="004B3B8E">
        <w:tc>
          <w:tcPr>
            <w:tcW w:w="9390" w:type="dxa"/>
            <w:gridSpan w:val="2"/>
          </w:tcPr>
          <w:p w14:paraId="0D02EC87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6EA246" w14:textId="77777777" w:rsidR="00B84E23" w:rsidRDefault="00B84E23" w:rsidP="00B84E23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40F75">
        <w:rPr>
          <w:rFonts w:ascii="Times New Roman" w:hAnsi="Times New Roman"/>
          <w:i/>
          <w:iCs/>
          <w:sz w:val="24"/>
          <w:szCs w:val="24"/>
        </w:rPr>
        <w:t>(allkirjastatud digitaalselt)</w:t>
      </w:r>
    </w:p>
    <w:p w14:paraId="0D02EC8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0C204F" w14:textId="30769341" w:rsidR="00515C40" w:rsidRDefault="00C317D8" w:rsidP="00B84E2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Makism</w:t>
      </w:r>
      <w:proofErr w:type="spellEnd"/>
      <w:r>
        <w:rPr>
          <w:rFonts w:ascii="Times New Roman" w:hAnsi="Times New Roman"/>
          <w:sz w:val="24"/>
          <w:szCs w:val="24"/>
        </w:rPr>
        <w:t xml:space="preserve"> Butšenkov</w:t>
      </w:r>
    </w:p>
    <w:p w14:paraId="69EE55B7" w14:textId="4F641932" w:rsidR="00B84E23" w:rsidRDefault="00B84E23" w:rsidP="00B84E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3C25B2">
        <w:rPr>
          <w:rFonts w:ascii="Times New Roman" w:hAnsi="Times New Roman"/>
          <w:sz w:val="24"/>
          <w:szCs w:val="24"/>
        </w:rPr>
        <w:instrText xml:space="preserve"> delta_signerJobTitle  \* MERGEFORMAT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3C25B2">
        <w:rPr>
          <w:rFonts w:ascii="Times New Roman" w:hAnsi="Times New Roman"/>
          <w:sz w:val="24"/>
          <w:szCs w:val="24"/>
        </w:rPr>
        <w:t>vallavolikogu esimees</w:t>
      </w:r>
      <w:r>
        <w:rPr>
          <w:rFonts w:ascii="Times New Roman" w:hAnsi="Times New Roman"/>
          <w:sz w:val="24"/>
          <w:szCs w:val="24"/>
        </w:rPr>
        <w:fldChar w:fldCharType="end"/>
      </w:r>
    </w:p>
    <w:p w14:paraId="775B43F0" w14:textId="77777777" w:rsidR="00B84E23" w:rsidRDefault="00B84E23" w:rsidP="00B84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4A5510" w14:textId="77777777" w:rsidR="00B84E23" w:rsidRDefault="00B84E23" w:rsidP="00B84E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B84E23" w:rsidRPr="00C977E4" w14:paraId="0674EC03" w14:textId="77777777" w:rsidTr="00226CC5">
        <w:tc>
          <w:tcPr>
            <w:tcW w:w="976" w:type="dxa"/>
          </w:tcPr>
          <w:p w14:paraId="55ADF87D" w14:textId="77777777" w:rsidR="00B84E23" w:rsidRDefault="00B84E23" w:rsidP="00226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Lisad:</w:t>
            </w:r>
          </w:p>
        </w:tc>
        <w:tc>
          <w:tcPr>
            <w:tcW w:w="8518" w:type="dxa"/>
          </w:tcPr>
          <w:p w14:paraId="6565E279" w14:textId="77777777" w:rsidR="00B84E23" w:rsidRDefault="00B84E23" w:rsidP="00B84E23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3 Hoone soklikorruse plaan</w:t>
            </w:r>
          </w:p>
          <w:p w14:paraId="10AE36B1" w14:textId="2AAE4422" w:rsidR="00B84E23" w:rsidRPr="0013189E" w:rsidRDefault="00B84E23" w:rsidP="0013189E">
            <w:pPr>
              <w:spacing w:after="0" w:line="240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D52387" w14:textId="3FAAF8D1" w:rsidR="00B84E23" w:rsidRDefault="00B84E23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0D02EC99" w14:textId="77777777" w:rsidTr="00435C14">
        <w:tc>
          <w:tcPr>
            <w:tcW w:w="9354" w:type="dxa"/>
            <w:gridSpan w:val="3"/>
          </w:tcPr>
          <w:p w14:paraId="0D02EC98" w14:textId="617E0D6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0D02EC9B" w14:textId="77777777" w:rsidTr="00435C14">
        <w:tc>
          <w:tcPr>
            <w:tcW w:w="9354" w:type="dxa"/>
            <w:gridSpan w:val="3"/>
          </w:tcPr>
          <w:p w14:paraId="0789F553" w14:textId="77777777" w:rsidR="00B84E23" w:rsidRDefault="00B84E23" w:rsidP="00B84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9259C0" w14:textId="2635320C" w:rsidR="00FE2434" w:rsidRDefault="00533513" w:rsidP="00F90B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E2434" w:rsidRPr="00533513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Vallavolikogu 24.04.2025 otsuses nr 188</w:t>
              </w:r>
            </w:hyperlink>
            <w:r w:rsidR="00FE2434" w:rsidRPr="004B3B8E">
              <w:rPr>
                <w:rFonts w:ascii="Times New Roman" w:hAnsi="Times New Roman"/>
                <w:sz w:val="24"/>
                <w:szCs w:val="24"/>
              </w:rPr>
              <w:t xml:space="preserve"> oli määratletud kinnistu ja hoone I korruse kasutuskord, kuid ei olnud määratletud hoone soklikorruse kasutuskorda. Tulenevalt krediidiasutuste laenulepingu nõudest tuleneb kohustus seada hoone soklikorruse kasutuskord ning 22.05.2025 esitas </w:t>
            </w:r>
            <w:proofErr w:type="spellStart"/>
            <w:r w:rsidR="00FE2434" w:rsidRPr="004B3B8E">
              <w:rPr>
                <w:rFonts w:ascii="Times New Roman" w:hAnsi="Times New Roman"/>
                <w:sz w:val="24"/>
                <w:szCs w:val="24"/>
              </w:rPr>
              <w:t>Vajangu</w:t>
            </w:r>
            <w:proofErr w:type="spellEnd"/>
            <w:r w:rsidR="00FE2434" w:rsidRPr="004B3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2434" w:rsidRPr="004B3B8E">
              <w:rPr>
                <w:rFonts w:ascii="Times New Roman" w:hAnsi="Times New Roman"/>
                <w:sz w:val="24"/>
                <w:szCs w:val="24"/>
              </w:rPr>
              <w:t>Eakatekodu</w:t>
            </w:r>
            <w:proofErr w:type="spellEnd"/>
            <w:r w:rsidR="00FE2434" w:rsidRPr="004B3B8E">
              <w:rPr>
                <w:rFonts w:ascii="Times New Roman" w:hAnsi="Times New Roman"/>
                <w:sz w:val="24"/>
                <w:szCs w:val="24"/>
              </w:rPr>
              <w:t xml:space="preserve"> OÜ vastavasisulise taotluse Tapa Vallavalitsusele nr 4-8/25/1032-1.</w:t>
            </w:r>
            <w:r w:rsidR="004661E7">
              <w:rPr>
                <w:rFonts w:ascii="Times New Roman" w:hAnsi="Times New Roman"/>
                <w:sz w:val="24"/>
                <w:szCs w:val="24"/>
              </w:rPr>
              <w:t xml:space="preserve"> Vallavalitsus on seisukohal, et on otstarbekas leppida kokku ka soklikorruse ruumide kasutuskorras. </w:t>
            </w:r>
          </w:p>
          <w:p w14:paraId="097A8A15" w14:textId="77777777" w:rsidR="00FE2434" w:rsidRDefault="00FE2434" w:rsidP="00B84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5C316C" w14:textId="00D5E57D" w:rsidR="008E7343" w:rsidRDefault="00FE2434" w:rsidP="00B84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Tulenevalt eeltoodust on </w:t>
            </w:r>
            <w:r w:rsidR="00695119">
              <w:rPr>
                <w:rFonts w:ascii="Times New Roman" w:hAnsi="Times New Roman"/>
                <w:sz w:val="24"/>
                <w:szCs w:val="24"/>
              </w:rPr>
              <w:t xml:space="preserve">muudetud otsuse punkte 2.3-2.5, </w:t>
            </w:r>
            <w:r>
              <w:rPr>
                <w:rFonts w:ascii="Times New Roman" w:hAnsi="Times New Roman"/>
                <w:sz w:val="24"/>
                <w:szCs w:val="24"/>
              </w:rPr>
              <w:t>lisandu</w:t>
            </w:r>
            <w:r w:rsidR="00695119">
              <w:rPr>
                <w:rFonts w:ascii="Times New Roman" w:hAnsi="Times New Roman"/>
                <w:sz w:val="24"/>
                <w:szCs w:val="24"/>
              </w:rPr>
              <w:t>des soklikorruse ruumide kasutuskorra vastavalt otsusele li</w:t>
            </w:r>
            <w:r w:rsidR="00F90B2D">
              <w:rPr>
                <w:rFonts w:ascii="Times New Roman" w:hAnsi="Times New Roman"/>
                <w:sz w:val="24"/>
                <w:szCs w:val="24"/>
              </w:rPr>
              <w:t>sa</w:t>
            </w:r>
            <w:r w:rsidR="00695119">
              <w:rPr>
                <w:rFonts w:ascii="Times New Roman" w:hAnsi="Times New Roman"/>
                <w:sz w:val="24"/>
                <w:szCs w:val="24"/>
              </w:rPr>
              <w:t xml:space="preserve">tud Lisale 3. </w:t>
            </w:r>
          </w:p>
          <w:p w14:paraId="61C0F108" w14:textId="0EB9F31E" w:rsidR="00695119" w:rsidRDefault="00695119" w:rsidP="00B84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Muus otsus jääb otsus kehtima endisel kujul.</w:t>
            </w:r>
          </w:p>
          <w:p w14:paraId="7F8319B9" w14:textId="77777777" w:rsidR="008E7343" w:rsidRPr="00ED16E3" w:rsidRDefault="008E7343" w:rsidP="00B84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02EC9A" w14:textId="2B9F1203" w:rsidR="00E13B6E" w:rsidRDefault="00E13B6E" w:rsidP="004661E7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0D02EC9D" w14:textId="77777777" w:rsidTr="00435C14">
        <w:tc>
          <w:tcPr>
            <w:tcW w:w="9354" w:type="dxa"/>
            <w:gridSpan w:val="3"/>
          </w:tcPr>
          <w:p w14:paraId="0D02EC9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0D02ECA0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0D02EC9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0D02EC9F" w14:textId="358F1105" w:rsidR="00435C14" w:rsidRDefault="00B84E23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  <w:tr w:rsidR="00435C14" w14:paraId="0D02ECA3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0D02ECA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0D02ECA2" w14:textId="6E0DA984" w:rsidR="00435C14" w:rsidRDefault="00B84E23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arendusspetsialist Marko Teiva </w:t>
            </w:r>
          </w:p>
        </w:tc>
      </w:tr>
    </w:tbl>
    <w:p w14:paraId="0D02ECA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9"/>
      <w:footerReference w:type="default" r:id="rId10"/>
      <w:headerReference w:type="first" r:id="rId11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3E7B3" w14:textId="77777777" w:rsidR="006B47F8" w:rsidRDefault="006B47F8" w:rsidP="0058227E">
      <w:pPr>
        <w:spacing w:after="0" w:line="240" w:lineRule="auto"/>
      </w:pPr>
      <w:r>
        <w:separator/>
      </w:r>
    </w:p>
  </w:endnote>
  <w:endnote w:type="continuationSeparator" w:id="0">
    <w:p w14:paraId="2E393BDF" w14:textId="77777777" w:rsidR="006B47F8" w:rsidRDefault="006B47F8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ECA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3C25B2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E3948" w14:textId="77777777" w:rsidR="006B47F8" w:rsidRDefault="006B47F8" w:rsidP="0058227E">
      <w:pPr>
        <w:spacing w:after="0" w:line="240" w:lineRule="auto"/>
      </w:pPr>
      <w:r>
        <w:separator/>
      </w:r>
    </w:p>
  </w:footnote>
  <w:footnote w:type="continuationSeparator" w:id="0">
    <w:p w14:paraId="70E65A6E" w14:textId="77777777" w:rsidR="006B47F8" w:rsidRDefault="006B47F8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ECA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D02ECAB" w14:textId="298D22B8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ECA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02ECB8" wp14:editId="0D02ECB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02ECBE" w14:textId="27D6841C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2ECB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0D02ECBE" w14:textId="27D6841C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D02ECA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0D02ECA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D02ECB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3C39"/>
    <w:multiLevelType w:val="multilevel"/>
    <w:tmpl w:val="479ED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06E85"/>
    <w:multiLevelType w:val="multilevel"/>
    <w:tmpl w:val="8D6E60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298362">
    <w:abstractNumId w:val="3"/>
  </w:num>
  <w:num w:numId="2" w16cid:durableId="828441743">
    <w:abstractNumId w:val="5"/>
  </w:num>
  <w:num w:numId="3" w16cid:durableId="2132700280">
    <w:abstractNumId w:val="2"/>
  </w:num>
  <w:num w:numId="4" w16cid:durableId="1133517986">
    <w:abstractNumId w:val="0"/>
  </w:num>
  <w:num w:numId="5" w16cid:durableId="394931139">
    <w:abstractNumId w:val="6"/>
  </w:num>
  <w:num w:numId="6" w16cid:durableId="1409428167">
    <w:abstractNumId w:val="1"/>
  </w:num>
  <w:num w:numId="7" w16cid:durableId="319424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978F9"/>
    <w:rsid w:val="000A1399"/>
    <w:rsid w:val="000A706D"/>
    <w:rsid w:val="001048B2"/>
    <w:rsid w:val="00105CE0"/>
    <w:rsid w:val="0013189E"/>
    <w:rsid w:val="00172DD1"/>
    <w:rsid w:val="00173324"/>
    <w:rsid w:val="0019153A"/>
    <w:rsid w:val="00192F33"/>
    <w:rsid w:val="001A073C"/>
    <w:rsid w:val="001A103D"/>
    <w:rsid w:val="001C5D78"/>
    <w:rsid w:val="001F4B34"/>
    <w:rsid w:val="00214BE1"/>
    <w:rsid w:val="00216C4E"/>
    <w:rsid w:val="00274862"/>
    <w:rsid w:val="002B1191"/>
    <w:rsid w:val="00305395"/>
    <w:rsid w:val="003345F2"/>
    <w:rsid w:val="003360B7"/>
    <w:rsid w:val="003568FE"/>
    <w:rsid w:val="00365D20"/>
    <w:rsid w:val="003B62E0"/>
    <w:rsid w:val="003C25B2"/>
    <w:rsid w:val="003E4D77"/>
    <w:rsid w:val="00414E3C"/>
    <w:rsid w:val="00433863"/>
    <w:rsid w:val="00435C14"/>
    <w:rsid w:val="00444E24"/>
    <w:rsid w:val="004661E7"/>
    <w:rsid w:val="00480C46"/>
    <w:rsid w:val="0049397B"/>
    <w:rsid w:val="004A0794"/>
    <w:rsid w:val="004B3B8E"/>
    <w:rsid w:val="004E55FF"/>
    <w:rsid w:val="00515C40"/>
    <w:rsid w:val="005252F4"/>
    <w:rsid w:val="00533513"/>
    <w:rsid w:val="0058227E"/>
    <w:rsid w:val="005B06A1"/>
    <w:rsid w:val="005F2142"/>
    <w:rsid w:val="00603FA4"/>
    <w:rsid w:val="00646951"/>
    <w:rsid w:val="006906DF"/>
    <w:rsid w:val="00695119"/>
    <w:rsid w:val="006B47F8"/>
    <w:rsid w:val="006F63C2"/>
    <w:rsid w:val="006F7490"/>
    <w:rsid w:val="007171F4"/>
    <w:rsid w:val="00757FCF"/>
    <w:rsid w:val="007611FD"/>
    <w:rsid w:val="007621EB"/>
    <w:rsid w:val="00772CF5"/>
    <w:rsid w:val="00780FC0"/>
    <w:rsid w:val="00792D1C"/>
    <w:rsid w:val="007B63D2"/>
    <w:rsid w:val="007C3E85"/>
    <w:rsid w:val="007D1DEE"/>
    <w:rsid w:val="007D227C"/>
    <w:rsid w:val="007D6385"/>
    <w:rsid w:val="007D6AB5"/>
    <w:rsid w:val="008B21F2"/>
    <w:rsid w:val="008C3218"/>
    <w:rsid w:val="008D4DA5"/>
    <w:rsid w:val="008E5E7C"/>
    <w:rsid w:val="008E7343"/>
    <w:rsid w:val="00922BA0"/>
    <w:rsid w:val="00940B98"/>
    <w:rsid w:val="009428D9"/>
    <w:rsid w:val="009A7681"/>
    <w:rsid w:val="009D2727"/>
    <w:rsid w:val="00A03607"/>
    <w:rsid w:val="00A357CC"/>
    <w:rsid w:val="00A43B52"/>
    <w:rsid w:val="00A70750"/>
    <w:rsid w:val="00AA1BB8"/>
    <w:rsid w:val="00AA5077"/>
    <w:rsid w:val="00AB0B37"/>
    <w:rsid w:val="00AB2F17"/>
    <w:rsid w:val="00AF1DE6"/>
    <w:rsid w:val="00B05A9A"/>
    <w:rsid w:val="00B104F3"/>
    <w:rsid w:val="00B41A44"/>
    <w:rsid w:val="00B502C8"/>
    <w:rsid w:val="00B76A4B"/>
    <w:rsid w:val="00B84E23"/>
    <w:rsid w:val="00BB4644"/>
    <w:rsid w:val="00BB4F1C"/>
    <w:rsid w:val="00C27542"/>
    <w:rsid w:val="00C317D8"/>
    <w:rsid w:val="00C4063A"/>
    <w:rsid w:val="00C93CE2"/>
    <w:rsid w:val="00CD0CFF"/>
    <w:rsid w:val="00D5003E"/>
    <w:rsid w:val="00D976F1"/>
    <w:rsid w:val="00DB4C26"/>
    <w:rsid w:val="00E04839"/>
    <w:rsid w:val="00E122B2"/>
    <w:rsid w:val="00E13B6E"/>
    <w:rsid w:val="00E41682"/>
    <w:rsid w:val="00E54079"/>
    <w:rsid w:val="00EA2011"/>
    <w:rsid w:val="00EB548E"/>
    <w:rsid w:val="00ED16E3"/>
    <w:rsid w:val="00EE41BE"/>
    <w:rsid w:val="00EF7D6B"/>
    <w:rsid w:val="00EF7FF9"/>
    <w:rsid w:val="00F43D1E"/>
    <w:rsid w:val="00F77BE4"/>
    <w:rsid w:val="00F90B2D"/>
    <w:rsid w:val="00F9540A"/>
    <w:rsid w:val="00F95957"/>
    <w:rsid w:val="00FC04B9"/>
    <w:rsid w:val="00FC1731"/>
    <w:rsid w:val="00FC4D7A"/>
    <w:rsid w:val="00FD53CE"/>
    <w:rsid w:val="00FE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2EC68"/>
  <w15:docId w15:val="{6E843EE7-A948-4CAE-892C-D4471641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2434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84E23"/>
    <w:rPr>
      <w:color w:val="0000FF" w:themeColor="hyperlink"/>
      <w:u w:val="single"/>
    </w:rPr>
  </w:style>
  <w:style w:type="paragraph" w:styleId="Redaktsioon">
    <w:name w:val="Revision"/>
    <w:hidden/>
    <w:uiPriority w:val="99"/>
    <w:semiHidden/>
    <w:rsid w:val="008E5E7C"/>
    <w:rPr>
      <w:sz w:val="22"/>
      <w:szCs w:val="22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8E5E7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E5E7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E5E7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E5E7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E5E7C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33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r.novian.ee/tapa_vald/dokument/68983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8823F-5E2D-48E4-B66E-7186EFF5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6</cp:revision>
  <cp:lastPrinted>2019-01-28T08:15:00Z</cp:lastPrinted>
  <dcterms:created xsi:type="dcterms:W3CDTF">2025-05-23T07:23:00Z</dcterms:created>
  <dcterms:modified xsi:type="dcterms:W3CDTF">2025-05-23T07:35:00Z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