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0C24" w14:textId="77777777" w:rsidR="006F590A" w:rsidRDefault="006F590A" w:rsidP="006F590A">
      <w:pPr>
        <w:tabs>
          <w:tab w:val="left" w:pos="3402"/>
        </w:tabs>
        <w:ind w:right="-113"/>
        <w:rPr>
          <w:bCs/>
        </w:rPr>
      </w:pPr>
      <w:bookmarkStart w:id="0" w:name="_GoBack"/>
      <w:bookmarkEnd w:id="0"/>
    </w:p>
    <w:p w14:paraId="36A6ACD3" w14:textId="77777777" w:rsidR="000C25F2" w:rsidRPr="000C25F2" w:rsidRDefault="000C25F2" w:rsidP="000C25F2">
      <w:pPr>
        <w:tabs>
          <w:tab w:val="left" w:pos="3402"/>
        </w:tabs>
        <w:ind w:right="-113"/>
        <w:jc w:val="both"/>
        <w:rPr>
          <w:bCs/>
        </w:rPr>
      </w:pPr>
      <w:r w:rsidRPr="000C25F2">
        <w:rPr>
          <w:bCs/>
        </w:rPr>
        <w:t>Hankija: Tapa Vallavalitsus</w:t>
      </w:r>
    </w:p>
    <w:p w14:paraId="3340FC23" w14:textId="65F03820" w:rsidR="000C25F2" w:rsidRPr="000C25F2" w:rsidRDefault="00F775D6" w:rsidP="00357320">
      <w:pPr>
        <w:tabs>
          <w:tab w:val="left" w:pos="3402"/>
        </w:tabs>
        <w:ind w:right="-113"/>
        <w:jc w:val="both"/>
        <w:rPr>
          <w:bCs/>
        </w:rPr>
      </w:pPr>
      <w:r>
        <w:rPr>
          <w:bCs/>
        </w:rPr>
        <w:t>Väikehange</w:t>
      </w:r>
      <w:r w:rsidR="000C25F2" w:rsidRPr="000C25F2">
        <w:rPr>
          <w:bCs/>
        </w:rPr>
        <w:t xml:space="preserve">: </w:t>
      </w:r>
      <w:bookmarkStart w:id="1" w:name="_Hlk3368956"/>
      <w:r w:rsidR="000C25F2" w:rsidRPr="000C25F2">
        <w:rPr>
          <w:bCs/>
        </w:rPr>
        <w:t>Ta</w:t>
      </w:r>
      <w:r w:rsidR="00E46A99">
        <w:rPr>
          <w:bCs/>
        </w:rPr>
        <w:t>msalu Pargi tn välisvalgustuse rekonstrueerimise projekteerimine ja ehit</w:t>
      </w:r>
      <w:r>
        <w:rPr>
          <w:bCs/>
        </w:rPr>
        <w:t>amine</w:t>
      </w:r>
      <w:r w:rsidR="00E46A99">
        <w:rPr>
          <w:bCs/>
        </w:rPr>
        <w:t xml:space="preserve"> </w:t>
      </w:r>
      <w:bookmarkEnd w:id="1"/>
    </w:p>
    <w:p w14:paraId="5F158A41" w14:textId="77777777" w:rsidR="000C25F2" w:rsidRPr="000C25F2" w:rsidRDefault="000C25F2" w:rsidP="00357320">
      <w:pPr>
        <w:tabs>
          <w:tab w:val="left" w:pos="3402"/>
        </w:tabs>
        <w:ind w:right="-113"/>
        <w:jc w:val="both"/>
        <w:rPr>
          <w:bCs/>
        </w:rPr>
      </w:pPr>
    </w:p>
    <w:p w14:paraId="5865BAA6" w14:textId="77777777" w:rsidR="000C25F2" w:rsidRPr="000C25F2" w:rsidRDefault="000C25F2" w:rsidP="00357320">
      <w:pPr>
        <w:tabs>
          <w:tab w:val="left" w:pos="3402"/>
        </w:tabs>
        <w:ind w:right="-113"/>
        <w:jc w:val="both"/>
        <w:rPr>
          <w:b/>
          <w:bCs/>
        </w:rPr>
      </w:pPr>
      <w:r w:rsidRPr="000C25F2">
        <w:rPr>
          <w:b/>
          <w:bCs/>
        </w:rPr>
        <w:t>Tehniline kirjeldus</w:t>
      </w:r>
    </w:p>
    <w:p w14:paraId="51B666BE" w14:textId="77777777" w:rsidR="000C25F2" w:rsidRPr="000C25F2" w:rsidRDefault="000C25F2" w:rsidP="00357320">
      <w:pPr>
        <w:tabs>
          <w:tab w:val="left" w:pos="3402"/>
        </w:tabs>
        <w:ind w:right="-113"/>
        <w:jc w:val="both"/>
        <w:rPr>
          <w:b/>
          <w:bCs/>
        </w:rPr>
      </w:pPr>
    </w:p>
    <w:p w14:paraId="5D906B33" w14:textId="684D2693" w:rsidR="000C25F2" w:rsidRPr="000C25F2" w:rsidRDefault="000C25F2" w:rsidP="00357320">
      <w:pPr>
        <w:tabs>
          <w:tab w:val="left" w:pos="3402"/>
        </w:tabs>
        <w:ind w:right="-113"/>
        <w:jc w:val="both"/>
        <w:rPr>
          <w:b/>
          <w:bCs/>
        </w:rPr>
      </w:pPr>
      <w:r w:rsidRPr="000C25F2">
        <w:rPr>
          <w:b/>
          <w:bCs/>
        </w:rPr>
        <w:t xml:space="preserve">1. </w:t>
      </w:r>
      <w:r w:rsidR="00E46A99">
        <w:rPr>
          <w:b/>
          <w:bCs/>
        </w:rPr>
        <w:t>O</w:t>
      </w:r>
      <w:r w:rsidRPr="000C25F2">
        <w:rPr>
          <w:b/>
          <w:bCs/>
        </w:rPr>
        <w:t xml:space="preserve">bjekt </w:t>
      </w:r>
    </w:p>
    <w:p w14:paraId="086D7E1D" w14:textId="457172AA" w:rsidR="000C25F2" w:rsidRPr="000C25F2" w:rsidRDefault="000C25F2" w:rsidP="00357320">
      <w:pPr>
        <w:tabs>
          <w:tab w:val="left" w:pos="3402"/>
        </w:tabs>
        <w:ind w:right="-113"/>
        <w:jc w:val="both"/>
        <w:rPr>
          <w:bCs/>
        </w:rPr>
      </w:pPr>
      <w:r w:rsidRPr="000C25F2">
        <w:rPr>
          <w:bCs/>
        </w:rPr>
        <w:t xml:space="preserve"> Lääne-Viru maakond Tapa vald, Ta</w:t>
      </w:r>
      <w:r w:rsidR="00E46A99">
        <w:rPr>
          <w:bCs/>
        </w:rPr>
        <w:t>msalu</w:t>
      </w:r>
      <w:r w:rsidRPr="000C25F2">
        <w:rPr>
          <w:bCs/>
        </w:rPr>
        <w:t xml:space="preserve"> linn </w:t>
      </w:r>
      <w:r w:rsidR="00E46A99">
        <w:rPr>
          <w:bCs/>
        </w:rPr>
        <w:t>Pargi tn välisvalgustuse projekteerimine ja ehitustööd</w:t>
      </w:r>
      <w:r w:rsidRPr="000C25F2">
        <w:rPr>
          <w:bCs/>
        </w:rPr>
        <w:t xml:space="preserve">. </w:t>
      </w:r>
    </w:p>
    <w:p w14:paraId="6B8BD84D" w14:textId="77777777" w:rsidR="000C25F2" w:rsidRPr="000C25F2" w:rsidRDefault="000C25F2" w:rsidP="00357320">
      <w:pPr>
        <w:tabs>
          <w:tab w:val="left" w:pos="3402"/>
        </w:tabs>
        <w:ind w:right="-113"/>
        <w:jc w:val="both"/>
        <w:rPr>
          <w:bCs/>
        </w:rPr>
      </w:pPr>
    </w:p>
    <w:p w14:paraId="6EF603E5" w14:textId="77777777" w:rsidR="000C25F2" w:rsidRPr="000C25F2" w:rsidRDefault="000C25F2" w:rsidP="00357320">
      <w:pPr>
        <w:tabs>
          <w:tab w:val="left" w:pos="3402"/>
        </w:tabs>
        <w:ind w:right="-113"/>
        <w:jc w:val="both"/>
        <w:rPr>
          <w:b/>
          <w:bCs/>
        </w:rPr>
      </w:pPr>
      <w:r w:rsidRPr="000C25F2">
        <w:rPr>
          <w:b/>
          <w:bCs/>
        </w:rPr>
        <w:t>2. Alusdokumendid</w:t>
      </w:r>
    </w:p>
    <w:p w14:paraId="28525037" w14:textId="63188642" w:rsidR="00D544B8" w:rsidRPr="000C25F2" w:rsidRDefault="00D544B8" w:rsidP="00357320">
      <w:pPr>
        <w:numPr>
          <w:ilvl w:val="0"/>
          <w:numId w:val="28"/>
        </w:numPr>
        <w:tabs>
          <w:tab w:val="left" w:pos="3402"/>
        </w:tabs>
        <w:ind w:right="-113"/>
        <w:jc w:val="both"/>
        <w:rPr>
          <w:bCs/>
        </w:rPr>
      </w:pPr>
      <w:r>
        <w:rPr>
          <w:bCs/>
        </w:rPr>
        <w:t>Ta</w:t>
      </w:r>
      <w:r w:rsidR="00E46A99">
        <w:rPr>
          <w:bCs/>
        </w:rPr>
        <w:t>msalu linna Pargi tn välisvalgustuse</w:t>
      </w:r>
      <w:r>
        <w:rPr>
          <w:bCs/>
        </w:rPr>
        <w:t xml:space="preserve"> asendiplaan</w:t>
      </w:r>
    </w:p>
    <w:p w14:paraId="243AF72A" w14:textId="77777777" w:rsidR="009B5337" w:rsidRDefault="009B5337" w:rsidP="00357320">
      <w:pPr>
        <w:jc w:val="both"/>
        <w:rPr>
          <w:u w:val="single"/>
        </w:rPr>
      </w:pPr>
      <w:r>
        <w:rPr>
          <w:u w:val="single"/>
        </w:rPr>
        <w:t>Kohalikud õigusaktid</w:t>
      </w:r>
    </w:p>
    <w:p w14:paraId="0528D144" w14:textId="77777777" w:rsidR="00B61A86" w:rsidRDefault="00B61A86" w:rsidP="00357320">
      <w:pPr>
        <w:tabs>
          <w:tab w:val="num" w:pos="1134"/>
        </w:tabs>
        <w:jc w:val="both"/>
      </w:pPr>
      <w:r w:rsidRPr="00B61A86">
        <w:t>Töö teostamist reguleerivad järgmised kohalikud õigusaktid:</w:t>
      </w:r>
    </w:p>
    <w:p w14:paraId="09F0CA5D" w14:textId="77777777" w:rsidR="001F15F8" w:rsidRDefault="001F15F8" w:rsidP="00357320">
      <w:pPr>
        <w:pStyle w:val="Loendilik"/>
        <w:numPr>
          <w:ilvl w:val="0"/>
          <w:numId w:val="26"/>
        </w:numPr>
        <w:jc w:val="both"/>
      </w:pPr>
      <w:r>
        <w:t>Tapa Vallavolikogu 26.11.2018 määrus nr 44 „Tapa valla kaevetööde eeskiri“.</w:t>
      </w:r>
    </w:p>
    <w:p w14:paraId="75900F26" w14:textId="77777777" w:rsidR="001F15F8" w:rsidRDefault="001F15F8" w:rsidP="00357320">
      <w:pPr>
        <w:pStyle w:val="Loendilik"/>
        <w:numPr>
          <w:ilvl w:val="0"/>
          <w:numId w:val="26"/>
        </w:numPr>
        <w:jc w:val="both"/>
      </w:pPr>
      <w:r>
        <w:t>Tapa Vallavolikogu 30.05.2018 määrus nr 25 „Tapa valla teede ja tänavate sulgemise maks“.</w:t>
      </w:r>
    </w:p>
    <w:p w14:paraId="32A21BF1" w14:textId="77777777" w:rsidR="001F15F8" w:rsidRDefault="001F15F8" w:rsidP="00357320">
      <w:pPr>
        <w:pStyle w:val="Loendilik"/>
        <w:numPr>
          <w:ilvl w:val="0"/>
          <w:numId w:val="26"/>
        </w:numPr>
        <w:jc w:val="both"/>
      </w:pPr>
      <w:r>
        <w:t>Tapa Vallavalitsuse 18.07.2018 määrus nr 10 ,,Tapa valla teede ja tänavate sulgemise kord“.</w:t>
      </w:r>
    </w:p>
    <w:p w14:paraId="1016BF33" w14:textId="77777777" w:rsidR="001F15F8" w:rsidRDefault="001F15F8" w:rsidP="00357320">
      <w:pPr>
        <w:pStyle w:val="Loendilik"/>
        <w:numPr>
          <w:ilvl w:val="0"/>
          <w:numId w:val="26"/>
        </w:numPr>
        <w:jc w:val="both"/>
      </w:pPr>
      <w:r>
        <w:t>Tapa  Vallavolikogu 29.10.2018 määrus nr 39 ,,Tapa valla jäätmehoolduseeskiri“.</w:t>
      </w:r>
    </w:p>
    <w:p w14:paraId="53B1C86A" w14:textId="661289A1" w:rsidR="001F15F8" w:rsidRDefault="001F15F8" w:rsidP="00357320">
      <w:pPr>
        <w:tabs>
          <w:tab w:val="num" w:pos="1134"/>
        </w:tabs>
        <w:jc w:val="both"/>
      </w:pPr>
      <w:r>
        <w:t xml:space="preserve">Eelnimetatud õigusaktid on avalikult kättesaadavad Tapa valla veebilehel </w:t>
      </w:r>
      <w:hyperlink r:id="rId6" w:history="1">
        <w:r w:rsidR="00F775D6" w:rsidRPr="00685AFE">
          <w:rPr>
            <w:rStyle w:val="Hperlink"/>
          </w:rPr>
          <w:t>www.tapa.ee</w:t>
        </w:r>
      </w:hyperlink>
      <w:r>
        <w:t xml:space="preserve">. </w:t>
      </w:r>
    </w:p>
    <w:p w14:paraId="66626FE2" w14:textId="06C14F63" w:rsidR="00B61A86" w:rsidRDefault="001F15F8" w:rsidP="00357320">
      <w:pPr>
        <w:tabs>
          <w:tab w:val="num" w:pos="1134"/>
        </w:tabs>
        <w:jc w:val="both"/>
      </w:pPr>
      <w:r>
        <w:t>Vastavalt Tapa Vallavolikogu 30.05.2018 määrusele nr 25 § 9 lg 1 p 2 on maksust vabastatud vallavalitsuse tellimusel tehtavatest töödest tingitud sulgemised.</w:t>
      </w:r>
    </w:p>
    <w:p w14:paraId="410F4030" w14:textId="011E4643" w:rsidR="00E46A99" w:rsidRDefault="00E46A99" w:rsidP="00357320">
      <w:pPr>
        <w:tabs>
          <w:tab w:val="num" w:pos="1134"/>
        </w:tabs>
        <w:jc w:val="both"/>
      </w:pPr>
    </w:p>
    <w:p w14:paraId="017A1D22" w14:textId="44BC5BF2" w:rsidR="00E46A99" w:rsidRPr="00B61A86" w:rsidRDefault="00E46A99" w:rsidP="00357320">
      <w:pPr>
        <w:tabs>
          <w:tab w:val="num" w:pos="1134"/>
        </w:tabs>
        <w:jc w:val="both"/>
      </w:pPr>
      <w:r w:rsidRPr="00E46A99">
        <w:rPr>
          <w:bCs/>
        </w:rPr>
        <w:t>Kõik vajalikud väljatrükid teeb pakkuja omal kulul</w:t>
      </w:r>
    </w:p>
    <w:p w14:paraId="696B2816" w14:textId="77777777" w:rsidR="00F04718" w:rsidRDefault="00F04718" w:rsidP="00357320">
      <w:pPr>
        <w:tabs>
          <w:tab w:val="num" w:pos="1134"/>
        </w:tabs>
        <w:jc w:val="both"/>
      </w:pPr>
    </w:p>
    <w:p w14:paraId="5969992F" w14:textId="5ACD79FF" w:rsidR="009B5337" w:rsidRPr="00E46A99" w:rsidRDefault="009B5337" w:rsidP="00357320">
      <w:pPr>
        <w:tabs>
          <w:tab w:val="num" w:pos="1134"/>
        </w:tabs>
        <w:jc w:val="both"/>
        <w:rPr>
          <w:b/>
        </w:rPr>
      </w:pPr>
      <w:r>
        <w:rPr>
          <w:b/>
        </w:rPr>
        <w:t>3. Töö</w:t>
      </w:r>
      <w:r w:rsidR="00F775D6">
        <w:rPr>
          <w:b/>
        </w:rPr>
        <w:t>võtu kirjeldus</w:t>
      </w:r>
    </w:p>
    <w:p w14:paraId="432676FE" w14:textId="15FA5FF6" w:rsidR="009B5337" w:rsidRDefault="00F775D6" w:rsidP="00357320">
      <w:pPr>
        <w:jc w:val="both"/>
      </w:pPr>
      <w:r>
        <w:t>T</w:t>
      </w:r>
      <w:r w:rsidR="009B5337">
        <w:t xml:space="preserve">ööd teostatakse täisvastutusega peatöövõtu meetodil. Vastutus kogu töömaal toimuva tegevuse ja ohutuse üle lasub </w:t>
      </w:r>
      <w:r w:rsidR="00B61A86">
        <w:t>t</w:t>
      </w:r>
      <w:r w:rsidR="009B5337">
        <w:t xml:space="preserve">öövõtjal. Töömaal olevate ja </w:t>
      </w:r>
      <w:r w:rsidR="00B61A86">
        <w:t>t</w:t>
      </w:r>
      <w:r w:rsidR="009B5337">
        <w:t xml:space="preserve">öövõtjale kuuluvate varade säilimise eest vastutab </w:t>
      </w:r>
      <w:r w:rsidR="00B61A86">
        <w:t>t</w:t>
      </w:r>
      <w:r w:rsidR="009B5337">
        <w:t xml:space="preserve">öövõtja kuni objekti lõpliku üleandmiseni </w:t>
      </w:r>
      <w:r w:rsidR="00B61A86">
        <w:t>t</w:t>
      </w:r>
      <w:r w:rsidR="009B5337">
        <w:t xml:space="preserve">ellijale. Samuti vastutab </w:t>
      </w:r>
      <w:r w:rsidR="00B61A86">
        <w:t>t</w:t>
      </w:r>
      <w:r w:rsidR="009B5337">
        <w:t>öövõtja järgneva eest:</w:t>
      </w:r>
    </w:p>
    <w:p w14:paraId="35AFBCB9" w14:textId="77777777" w:rsidR="009B5337" w:rsidRDefault="009B5337" w:rsidP="00357320">
      <w:pPr>
        <w:widowControl w:val="0"/>
        <w:numPr>
          <w:ilvl w:val="0"/>
          <w:numId w:val="2"/>
        </w:numPr>
        <w:tabs>
          <w:tab w:val="left" w:pos="0"/>
          <w:tab w:val="left" w:pos="360"/>
        </w:tabs>
        <w:autoSpaceDE w:val="0"/>
        <w:autoSpaceDN w:val="0"/>
        <w:adjustRightInd w:val="0"/>
        <w:jc w:val="both"/>
      </w:pPr>
      <w:r>
        <w:t>töökaitse, -ohutuse ja tuleohutusnõuete korraldamise ja täitmise eest ehitusobjektil;</w:t>
      </w:r>
    </w:p>
    <w:p w14:paraId="31E7E5DE" w14:textId="77777777" w:rsidR="009B5337" w:rsidRDefault="009B5337" w:rsidP="00357320">
      <w:pPr>
        <w:widowControl w:val="0"/>
        <w:numPr>
          <w:ilvl w:val="0"/>
          <w:numId w:val="2"/>
        </w:numPr>
        <w:tabs>
          <w:tab w:val="left" w:pos="0"/>
          <w:tab w:val="left" w:pos="360"/>
        </w:tabs>
        <w:autoSpaceDE w:val="0"/>
        <w:autoSpaceDN w:val="0"/>
        <w:adjustRightInd w:val="0"/>
        <w:jc w:val="both"/>
      </w:pPr>
      <w:r>
        <w:t>keskkonnale tekitatud kahjude eest;</w:t>
      </w:r>
    </w:p>
    <w:p w14:paraId="286A3544" w14:textId="77777777" w:rsidR="009B5337" w:rsidRDefault="009B5337" w:rsidP="00357320">
      <w:pPr>
        <w:widowControl w:val="0"/>
        <w:numPr>
          <w:ilvl w:val="0"/>
          <w:numId w:val="2"/>
        </w:numPr>
        <w:tabs>
          <w:tab w:val="left" w:pos="0"/>
          <w:tab w:val="left" w:pos="360"/>
        </w:tabs>
        <w:autoSpaceDE w:val="0"/>
        <w:autoSpaceDN w:val="0"/>
        <w:adjustRightInd w:val="0"/>
        <w:ind w:left="714" w:hanging="357"/>
        <w:jc w:val="both"/>
      </w:pPr>
      <w:r>
        <w:t>enda või alltöövõtjate süülise tegevusega (tegevusetusega) põhjustatud kahjude eest kolmandate isikute suhtes;</w:t>
      </w:r>
    </w:p>
    <w:p w14:paraId="0D8A2D59" w14:textId="77777777" w:rsidR="009B5337" w:rsidRDefault="009B5337" w:rsidP="00357320">
      <w:pPr>
        <w:widowControl w:val="0"/>
        <w:numPr>
          <w:ilvl w:val="0"/>
          <w:numId w:val="2"/>
        </w:numPr>
        <w:tabs>
          <w:tab w:val="left" w:pos="0"/>
          <w:tab w:val="left" w:pos="360"/>
        </w:tabs>
        <w:autoSpaceDE w:val="0"/>
        <w:autoSpaceDN w:val="0"/>
        <w:adjustRightInd w:val="0"/>
        <w:ind w:left="714" w:hanging="357"/>
        <w:jc w:val="both"/>
      </w:pPr>
      <w:r>
        <w:t>alltöövõtjate poolt tehtud töö, selle kvaliteedi ja kõigi alltöövõtjate tegevuste eest hankelepingu nõuetekohaseks täitmiseks nii ehitustööde teostamise ajal kui ka garantiiperioodi ajal garantii kehtivuse lõpptähtpäevani.</w:t>
      </w:r>
    </w:p>
    <w:p w14:paraId="71D9DF88" w14:textId="77777777" w:rsidR="00F775D6" w:rsidRDefault="00F775D6" w:rsidP="00357320">
      <w:pPr>
        <w:pStyle w:val="Taandegakehatekst"/>
        <w:jc w:val="both"/>
      </w:pPr>
    </w:p>
    <w:p w14:paraId="08FA794A" w14:textId="17CE004F" w:rsidR="009B5337" w:rsidRPr="00F775D6" w:rsidRDefault="00F775D6" w:rsidP="00357320">
      <w:pPr>
        <w:pStyle w:val="Taandegakehatekst"/>
        <w:jc w:val="both"/>
        <w:rPr>
          <w:b/>
          <w:bCs/>
        </w:rPr>
      </w:pPr>
      <w:r w:rsidRPr="00F775D6">
        <w:rPr>
          <w:b/>
          <w:bCs/>
        </w:rPr>
        <w:t>Töövõtu koosseis</w:t>
      </w:r>
    </w:p>
    <w:p w14:paraId="5A77EB05" w14:textId="54EE93EA" w:rsidR="00FB68F3" w:rsidRPr="00F775D6" w:rsidRDefault="00FD03FE" w:rsidP="00357320">
      <w:pPr>
        <w:pStyle w:val="Taandegakehatekst"/>
        <w:jc w:val="both"/>
        <w:rPr>
          <w:b/>
          <w:bCs/>
        </w:rPr>
      </w:pPr>
      <w:r w:rsidRPr="00F775D6">
        <w:rPr>
          <w:b/>
          <w:bCs/>
        </w:rPr>
        <w:t>P</w:t>
      </w:r>
      <w:r w:rsidR="002F485A" w:rsidRPr="00F775D6">
        <w:rPr>
          <w:b/>
          <w:bCs/>
        </w:rPr>
        <w:t>rojekteerimine</w:t>
      </w:r>
      <w:r w:rsidRPr="00F775D6">
        <w:rPr>
          <w:b/>
          <w:bCs/>
        </w:rPr>
        <w:t>:</w:t>
      </w:r>
    </w:p>
    <w:p w14:paraId="7FCE4311" w14:textId="49E5E165" w:rsidR="00BD7E60" w:rsidRPr="00F775D6" w:rsidRDefault="00BD7E60" w:rsidP="00357320">
      <w:pPr>
        <w:pStyle w:val="Taandegakehatekst"/>
        <w:jc w:val="both"/>
        <w:rPr>
          <w:u w:val="single"/>
        </w:rPr>
      </w:pPr>
      <w:r w:rsidRPr="00F775D6">
        <w:rPr>
          <w:i/>
          <w:iCs/>
          <w:u w:val="single"/>
        </w:rPr>
        <w:t>Projekteerimise põhinäitajad</w:t>
      </w:r>
      <w:r w:rsidRPr="00F775D6">
        <w:rPr>
          <w:u w:val="single"/>
        </w:rPr>
        <w:t>:</w:t>
      </w:r>
    </w:p>
    <w:p w14:paraId="26EFEFF8" w14:textId="77777777" w:rsidR="00BD7E60" w:rsidRPr="00BD7E60" w:rsidRDefault="00BD7E60" w:rsidP="00357320">
      <w:pPr>
        <w:pStyle w:val="Taandegakehatekst"/>
        <w:numPr>
          <w:ilvl w:val="0"/>
          <w:numId w:val="29"/>
        </w:numPr>
        <w:jc w:val="both"/>
      </w:pPr>
      <w:r w:rsidRPr="00BD7E60">
        <w:t>Valgustuse elektriprojekt koostada tööprojekti staadiumis.</w:t>
      </w:r>
    </w:p>
    <w:p w14:paraId="5DD5BC42" w14:textId="457FF582" w:rsidR="00BD7E60" w:rsidRDefault="00BD7E60" w:rsidP="00357320">
      <w:pPr>
        <w:pStyle w:val="Taandegakehatekst"/>
        <w:numPr>
          <w:ilvl w:val="0"/>
          <w:numId w:val="29"/>
        </w:numPr>
        <w:jc w:val="both"/>
      </w:pPr>
      <w:r w:rsidRPr="00BD7E60">
        <w:t>Erandite vajadusel lepitakse eraldi kokku tellijaga projekteerimise käigus.</w:t>
      </w:r>
    </w:p>
    <w:p w14:paraId="6BA40E89" w14:textId="4D3E2A1C" w:rsidR="00BD7E60" w:rsidRPr="00F775D6" w:rsidRDefault="00BD7E60" w:rsidP="00357320">
      <w:pPr>
        <w:pStyle w:val="Taandegakehatekst"/>
        <w:jc w:val="both"/>
        <w:rPr>
          <w:u w:val="single"/>
        </w:rPr>
      </w:pPr>
      <w:r w:rsidRPr="00F775D6">
        <w:rPr>
          <w:i/>
          <w:iCs/>
          <w:u w:val="single"/>
        </w:rPr>
        <w:t>Tehnilise projekti koostamise nõuded</w:t>
      </w:r>
      <w:r w:rsidRPr="00F775D6">
        <w:rPr>
          <w:u w:val="single"/>
        </w:rPr>
        <w:t>.</w:t>
      </w:r>
    </w:p>
    <w:p w14:paraId="0FCE8074" w14:textId="77777777" w:rsidR="00BD7E60" w:rsidRPr="00BD7E60" w:rsidRDefault="00BD7E60" w:rsidP="00357320">
      <w:pPr>
        <w:pStyle w:val="Taandegakehatekst"/>
        <w:jc w:val="both"/>
      </w:pPr>
      <w:r w:rsidRPr="00BD7E60">
        <w:t>- Kõik pakutavad materjalid peavad sobima kasutamiseks kohalikes kliimatingimustes (statistika esitatud ET-2 0102-0329 Eesti kliima teatmik ehitajale) ja Eestis tagatud pingekvaliteedil (EVS-EN50160 Avalike elektrivõrkude pinge tunnussuurused).</w:t>
      </w:r>
    </w:p>
    <w:p w14:paraId="00229E2A" w14:textId="77777777" w:rsidR="00BD7E60" w:rsidRPr="00BD7E60" w:rsidRDefault="00BD7E60" w:rsidP="00357320">
      <w:pPr>
        <w:pStyle w:val="Taandegakehatekst"/>
        <w:jc w:val="both"/>
      </w:pPr>
      <w:r w:rsidRPr="00BD7E60">
        <w:t>- Projekti koostaval ettevõtjal ja/või isikul peab olema EhS kohane pargi- ja teevalgustuse projekteerimise pädevus.</w:t>
      </w:r>
    </w:p>
    <w:p w14:paraId="4B1A5154" w14:textId="55D78E99" w:rsidR="00BD7E60" w:rsidRPr="00BD7E60" w:rsidRDefault="00BD7E60" w:rsidP="00357320">
      <w:pPr>
        <w:pStyle w:val="Taandegakehatekst"/>
        <w:jc w:val="both"/>
      </w:pPr>
      <w:r w:rsidRPr="00BD7E60">
        <w:t>- Projekti koostamisel juhinduda kehtivatest seadustest, normdokumentidest, standarditest</w:t>
      </w:r>
      <w:r w:rsidR="00837AE1">
        <w:t>.</w:t>
      </w:r>
      <w:r w:rsidRPr="00BD7E60">
        <w:t xml:space="preserve"> </w:t>
      </w:r>
    </w:p>
    <w:p w14:paraId="4BAED377" w14:textId="630BBFD0" w:rsidR="00BD7E60" w:rsidRPr="00BD7E60" w:rsidRDefault="00BD7E60" w:rsidP="00357320">
      <w:pPr>
        <w:pStyle w:val="Taandegakehatekst"/>
        <w:jc w:val="both"/>
      </w:pPr>
      <w:r w:rsidRPr="00BD7E60">
        <w:t xml:space="preserve">- Tehniliselt vajaliku projektala määramiseks, mille ulatus täpsustatakse projekteerimise käigus. </w:t>
      </w:r>
    </w:p>
    <w:p w14:paraId="0CF35D31" w14:textId="242983F4" w:rsidR="00BD7E60" w:rsidRPr="00BD7E60" w:rsidRDefault="00BD7E60" w:rsidP="00357320">
      <w:pPr>
        <w:pStyle w:val="Taandegakehatekst"/>
        <w:jc w:val="both"/>
      </w:pPr>
      <w:r w:rsidRPr="00BD7E60">
        <w:lastRenderedPageBreak/>
        <w:t>-</w:t>
      </w:r>
      <w:r w:rsidR="00FB68F3">
        <w:t xml:space="preserve"> </w:t>
      </w:r>
      <w:r w:rsidRPr="00BD7E60">
        <w:t>Teostada projekti koostamiseks vajalikud geodeetilised uuringud vastavalt majandus- ja taristuministri 14.04.2016 määrusele nr 34 „Topo-geodeetilisele uuringule ja teostusmõõdistusele esitatavad nõuded“. Lisaks määruses toodule arvestada alljärgnevaga:</w:t>
      </w:r>
    </w:p>
    <w:p w14:paraId="24FDB69F" w14:textId="77777777" w:rsidR="00BD7E60" w:rsidRPr="00BD7E60" w:rsidRDefault="00BD7E60" w:rsidP="00357320">
      <w:pPr>
        <w:pStyle w:val="Taandegakehatekst"/>
        <w:numPr>
          <w:ilvl w:val="0"/>
          <w:numId w:val="30"/>
        </w:numPr>
        <w:jc w:val="both"/>
      </w:pPr>
      <w:r w:rsidRPr="00BD7E60">
        <w:t>plaanile kanda projekteeritavas alas paiknevate olemasolevate kommunikatsioonide asukohad, mis on kooskõlastatud trassi omanike ning haldajatega.</w:t>
      </w:r>
    </w:p>
    <w:p w14:paraId="3453BD37" w14:textId="54CA8CE4" w:rsidR="00BD7E60" w:rsidRPr="00BD7E60" w:rsidRDefault="00BD7E60" w:rsidP="00357320">
      <w:pPr>
        <w:pStyle w:val="Taandegakehatekst"/>
        <w:numPr>
          <w:ilvl w:val="0"/>
          <w:numId w:val="30"/>
        </w:numPr>
        <w:jc w:val="both"/>
      </w:pPr>
      <w:r w:rsidRPr="00BD7E60">
        <w:t>projekteeritava ala piir kinnistada looduses</w:t>
      </w:r>
      <w:r>
        <w:t>.</w:t>
      </w:r>
    </w:p>
    <w:p w14:paraId="0B8EBD74" w14:textId="77777777" w:rsidR="00BD7E60" w:rsidRPr="00BD7E60" w:rsidRDefault="00BD7E60" w:rsidP="00357320">
      <w:pPr>
        <w:pStyle w:val="Taandegakehatekst"/>
        <w:numPr>
          <w:ilvl w:val="0"/>
          <w:numId w:val="30"/>
        </w:numPr>
        <w:jc w:val="both"/>
      </w:pPr>
      <w:r w:rsidRPr="00BD7E60">
        <w:t>Projekti kooskõlastamiseks esitamise hetkel peab olema geodeetilise mõõdistuse, sh kooskõlastuste, vanus kuni üks aasta.</w:t>
      </w:r>
    </w:p>
    <w:p w14:paraId="7E06AFC7" w14:textId="77777777" w:rsidR="00BD7E60" w:rsidRPr="00BD7E60" w:rsidRDefault="00BD7E60" w:rsidP="00357320">
      <w:pPr>
        <w:pStyle w:val="Taandegakehatekst"/>
        <w:jc w:val="both"/>
      </w:pPr>
    </w:p>
    <w:p w14:paraId="61925EAD" w14:textId="3BE5EA2D" w:rsidR="00BD7E60" w:rsidRPr="00BD7E60" w:rsidRDefault="00BD7E60" w:rsidP="00357320">
      <w:pPr>
        <w:pStyle w:val="Taandegakehatekst"/>
        <w:jc w:val="both"/>
      </w:pPr>
      <w:r w:rsidRPr="00BD7E60">
        <w:t xml:space="preserve">- </w:t>
      </w:r>
      <w:r>
        <w:t>Tänava</w:t>
      </w:r>
      <w:r w:rsidRPr="00BD7E60">
        <w:t xml:space="preserve"> valgustuse projekteerimisel tuleb vältida sõiduteel liiklejate pimestamist või muud häirivat ja eksitavat mõju. </w:t>
      </w:r>
    </w:p>
    <w:p w14:paraId="4746F694" w14:textId="77777777" w:rsidR="00BD7E60" w:rsidRPr="00BD7E60" w:rsidRDefault="00BD7E60" w:rsidP="00357320">
      <w:pPr>
        <w:pStyle w:val="Taandegakehatekst"/>
        <w:jc w:val="both"/>
      </w:pPr>
      <w:r w:rsidRPr="00BD7E60">
        <w:t xml:space="preserve">- Seletuskirjas esitada valgustusklassi valiku arvutuskäik vastavalt standardile CEN/TR 13201-1:2014 Osa 1: Valgustusklasside valik. Valida konkreetsesse asukohta sobivad valgustid ja mastide optimaalne paigutus kasutades valgusarvutusprogrammi. </w:t>
      </w:r>
    </w:p>
    <w:p w14:paraId="086E5C8B" w14:textId="4F28F22C" w:rsidR="00BD7E60" w:rsidRPr="00BD7E60" w:rsidRDefault="00BD7E60" w:rsidP="00357320">
      <w:pPr>
        <w:pStyle w:val="Taandegakehatekst"/>
        <w:jc w:val="both"/>
      </w:pPr>
      <w:r w:rsidRPr="00BD7E60">
        <w:t xml:space="preserve">- </w:t>
      </w:r>
      <w:r w:rsidR="00C45897">
        <w:t>Metallm</w:t>
      </w:r>
      <w:r w:rsidRPr="00BD7E60">
        <w:t xml:space="preserve">astid projekteerida liiklejate ohutuse tagamiseks väljapoole teedel nõutud vaba ruumi. Juhinduda vaba ruumi laiuse määramisel Normide tabelist 2.17. </w:t>
      </w:r>
    </w:p>
    <w:p w14:paraId="0CE0ECA2" w14:textId="76D6E590" w:rsidR="00BD7E60" w:rsidRDefault="00BD7E60" w:rsidP="00357320">
      <w:pPr>
        <w:pStyle w:val="Taandegakehatekst"/>
        <w:jc w:val="both"/>
      </w:pPr>
      <w:r w:rsidRPr="00BD7E60">
        <w:t>- Projekteerida LED valgustid.</w:t>
      </w:r>
    </w:p>
    <w:p w14:paraId="2D31CD29" w14:textId="0F6CCA53" w:rsidR="00C45897" w:rsidRPr="00BD7E60" w:rsidRDefault="00C45897" w:rsidP="00357320">
      <w:pPr>
        <w:pStyle w:val="Taandegakehatekst"/>
        <w:jc w:val="both"/>
      </w:pPr>
      <w:r>
        <w:t>- Valgustustoiteliin projekteerida maakaablisse olemasolevast Kesk tänava tänavavalgustuse toiteliinist.</w:t>
      </w:r>
    </w:p>
    <w:p w14:paraId="2BE2B5CE" w14:textId="77777777" w:rsidR="00BD7E60" w:rsidRPr="00BD7E60" w:rsidRDefault="00BD7E60" w:rsidP="00357320">
      <w:pPr>
        <w:pStyle w:val="Taandegakehatekst"/>
        <w:jc w:val="both"/>
      </w:pPr>
      <w:r w:rsidRPr="00BD7E60">
        <w:t>- Projektis esitada valgustusarvutus koos valgustite valgustehniliste parameetritega ning nende valgustustehniliste arvutuste tulemustega, mis peavad olema vastavuses kehtiva standardiga. Valgustusarvutused esitada vähemalt alljärgnevas mahus:</w:t>
      </w:r>
    </w:p>
    <w:p w14:paraId="33656718" w14:textId="77777777" w:rsidR="00BD7E60" w:rsidRPr="00BD7E60" w:rsidRDefault="00BD7E60" w:rsidP="00FB68F3">
      <w:pPr>
        <w:pStyle w:val="Taandegakehatekst"/>
        <w:ind w:left="360"/>
        <w:jc w:val="both"/>
      </w:pPr>
      <w:r w:rsidRPr="00BD7E60">
        <w:t>hinnanguvälja isoliinide ja halliskaala mudelid, kus tingimused oleksid täidetud vastavalt etteantud valgustusklassile ning näidatud oleks mänguväljaku valgustatud alad (vajadusel näidata eraldi);</w:t>
      </w:r>
    </w:p>
    <w:p w14:paraId="5430D397" w14:textId="77777777" w:rsidR="00BD7E60" w:rsidRPr="00BD7E60" w:rsidRDefault="00BD7E60" w:rsidP="00FB68F3">
      <w:pPr>
        <w:pStyle w:val="Taandegakehatekst"/>
        <w:ind w:left="360"/>
        <w:jc w:val="both"/>
      </w:pPr>
      <w:r w:rsidRPr="00BD7E60">
        <w:t xml:space="preserve">planeerimisandmetesse lisada valgustusklass, valgusti võimsus, valgustist väljuv valgusvoog (lm), valgustipunkti kõrgus, mastide vahe kaugus, konsooli kalle, konsooli pikkus.  </w:t>
      </w:r>
    </w:p>
    <w:p w14:paraId="703239D2" w14:textId="77777777" w:rsidR="00BD7E60" w:rsidRPr="00BD7E60" w:rsidRDefault="00BD7E60" w:rsidP="00357320">
      <w:pPr>
        <w:pStyle w:val="Taandegakehatekst"/>
        <w:jc w:val="both"/>
      </w:pPr>
      <w:r w:rsidRPr="00BD7E60">
        <w:t>- Valgustusprojekti asendiplaani joonisele märkida: valgustusklass; valgusti number, võimsus, masti kõrgus, konsooli pikkus; mastide vahekaugused (m) ja toitekaablite iseloomulikud näitajad.</w:t>
      </w:r>
    </w:p>
    <w:p w14:paraId="51E111B1" w14:textId="77777777" w:rsidR="00BD7E60" w:rsidRPr="00BD7E60" w:rsidRDefault="00BD7E60" w:rsidP="00357320">
      <w:pPr>
        <w:pStyle w:val="Taandegakehatekst"/>
        <w:jc w:val="both"/>
      </w:pPr>
      <w:r w:rsidRPr="00BD7E60">
        <w:t xml:space="preserve">- Koostada valgustuse materjalide ja ehitustööde kululoend. </w:t>
      </w:r>
    </w:p>
    <w:p w14:paraId="42709C6D" w14:textId="77777777" w:rsidR="00BD7E60" w:rsidRPr="00BD7E60" w:rsidRDefault="00BD7E60" w:rsidP="00357320">
      <w:pPr>
        <w:pStyle w:val="Taandegakehatekst"/>
        <w:jc w:val="both"/>
      </w:pPr>
      <w:r w:rsidRPr="00BD7E60">
        <w:t>- Koostada projekteeritava ala asendiplaan M 1:500 ja projektplaanid M 1:500 koos maaüksuste piiridega.</w:t>
      </w:r>
    </w:p>
    <w:p w14:paraId="752DD55D" w14:textId="6E1625CD" w:rsidR="00BD7E60" w:rsidRDefault="00BD7E60" w:rsidP="00357320">
      <w:pPr>
        <w:pStyle w:val="Taandegakehatekst"/>
        <w:jc w:val="both"/>
      </w:pPr>
      <w:r w:rsidRPr="00BD7E60">
        <w:t>- Nõutada elektri, side või muude kommunikatsioonide valdajatelt tehnilised tingimused  vastavalt projektlahendustele. Vajadusel koostada kommunikatsioonide ümberehituste või kaitsmise projektid koos ümberehituseks vajaliku maa seadustamisega tööprojekti staadiumis.</w:t>
      </w:r>
    </w:p>
    <w:p w14:paraId="62B50CAD" w14:textId="77777777" w:rsidR="00FB68F3" w:rsidRPr="00BD7E60" w:rsidRDefault="00FB68F3" w:rsidP="00357320">
      <w:pPr>
        <w:pStyle w:val="Taandegakehatekst"/>
        <w:jc w:val="both"/>
      </w:pPr>
    </w:p>
    <w:p w14:paraId="7A5F53D5" w14:textId="28054ADF" w:rsidR="00BD7E60" w:rsidRPr="00F775D6" w:rsidRDefault="00BD7E60" w:rsidP="00357320">
      <w:pPr>
        <w:pStyle w:val="Taandegakehatekst"/>
        <w:jc w:val="both"/>
        <w:rPr>
          <w:i/>
          <w:iCs/>
          <w:u w:val="single"/>
        </w:rPr>
      </w:pPr>
      <w:r w:rsidRPr="00F775D6">
        <w:rPr>
          <w:i/>
          <w:iCs/>
          <w:u w:val="single"/>
        </w:rPr>
        <w:t xml:space="preserve">Kooskõlastamine </w:t>
      </w:r>
    </w:p>
    <w:p w14:paraId="362006BE" w14:textId="77777777" w:rsidR="00BD7E60" w:rsidRPr="00BD7E60" w:rsidRDefault="00BD7E60" w:rsidP="00357320">
      <w:pPr>
        <w:pStyle w:val="Taandegakehatekst"/>
        <w:jc w:val="both"/>
      </w:pPr>
      <w:r w:rsidRPr="00BD7E60">
        <w:t>- Alasse jäävate kaablite mastide valiku skeem, võimalikud variandid ja põhjendatud valikud  asukohtadest tuleb kooskõlastada Tapa Vallavalitsusega.</w:t>
      </w:r>
    </w:p>
    <w:p w14:paraId="05AF8450" w14:textId="77777777" w:rsidR="00BD7E60" w:rsidRPr="00BD7E60" w:rsidRDefault="00BD7E60" w:rsidP="00357320">
      <w:pPr>
        <w:pStyle w:val="Taandegakehatekst"/>
        <w:jc w:val="both"/>
      </w:pPr>
      <w:r w:rsidRPr="00BD7E60">
        <w:t>- Korraldada projekteerimise käigus koostöös Tapa Vallavalitsusega regulaarseid töökoosolekuid projektlahenduste aruteluks ja kooskõlastamiseks.</w:t>
      </w:r>
    </w:p>
    <w:p w14:paraId="3973AA02" w14:textId="77777777" w:rsidR="00BD7E60" w:rsidRPr="00BD7E60" w:rsidRDefault="00BD7E60" w:rsidP="00357320">
      <w:pPr>
        <w:pStyle w:val="Taandegakehatekst"/>
        <w:jc w:val="both"/>
      </w:pPr>
      <w:r w:rsidRPr="00BD7E60">
        <w:t>- Projektiga ettenähtud tööd, mis piirinaabreid otseselt mõjutavad, tuleb projekteerimise käigus viimastega kooskõlastada. Kooskõlastus peab olema üheselt mõistetav ja sisaldama tööde loetelu mida planeeritakse teostada krundi piiril ning kas sellega ollakse nõus või piirinaaber esitab vastuväite. Samas peab olema tagatud piiripunktide tähiste säilimine ehituse või remondi käigus. - Kui piiripunktide tähiste säilimine ei ole projektlahendusega tagatud, tuleb muuta projektlahendust või näha ette piiripunktide taastamine.</w:t>
      </w:r>
    </w:p>
    <w:p w14:paraId="547C2119" w14:textId="35D52AD7" w:rsidR="00BD7E60" w:rsidRPr="00BD7E60" w:rsidRDefault="00BD7E60" w:rsidP="00357320">
      <w:pPr>
        <w:pStyle w:val="Taandegakehatekst"/>
        <w:jc w:val="both"/>
      </w:pPr>
      <w:r w:rsidRPr="00BD7E60">
        <w:t>- Tehniline projekt tervikuna kooskõlastada Tapa Vallavalitsusega ning kõikide projektiga seotud kommunikatsioonide valdajate ja hooldajatega ning vajadusel teiste projektiga seotud isikutega.</w:t>
      </w:r>
    </w:p>
    <w:p w14:paraId="5FD6CE51" w14:textId="6763D18C" w:rsidR="0046621E" w:rsidRDefault="00BD7E60" w:rsidP="00357320">
      <w:pPr>
        <w:pStyle w:val="Taandegakehatekst"/>
        <w:jc w:val="both"/>
      </w:pPr>
      <w:r w:rsidRPr="00BD7E60">
        <w:t>- Tööprojekt koos tööjoonistega vormistada Tapa Vallavalitsuse jaoks ühes eksemplaris</w:t>
      </w:r>
      <w:r w:rsidR="00C759C8">
        <w:t xml:space="preserve"> eestikeelsena digitaalselt mälupulgal.</w:t>
      </w:r>
    </w:p>
    <w:p w14:paraId="7B6AE3B6" w14:textId="77777777" w:rsidR="00C759C8" w:rsidRPr="002B2960" w:rsidRDefault="00C759C8" w:rsidP="00357320">
      <w:pPr>
        <w:pStyle w:val="Taandegakehatekst"/>
        <w:jc w:val="both"/>
      </w:pPr>
    </w:p>
    <w:p w14:paraId="4EB5DBF5" w14:textId="472EE681" w:rsidR="002F485A" w:rsidRPr="00F775D6" w:rsidRDefault="00FD03FE" w:rsidP="00357320">
      <w:pPr>
        <w:pStyle w:val="Taandegakehatekst"/>
        <w:jc w:val="both"/>
        <w:rPr>
          <w:b/>
          <w:bCs/>
        </w:rPr>
      </w:pPr>
      <w:r w:rsidRPr="00F775D6">
        <w:rPr>
          <w:b/>
          <w:bCs/>
        </w:rPr>
        <w:t>E</w:t>
      </w:r>
      <w:r w:rsidR="002F485A" w:rsidRPr="00F775D6">
        <w:rPr>
          <w:b/>
          <w:bCs/>
        </w:rPr>
        <w:t>hitamine</w:t>
      </w:r>
      <w:r w:rsidRPr="00F775D6">
        <w:rPr>
          <w:b/>
          <w:bCs/>
        </w:rPr>
        <w:t>:</w:t>
      </w:r>
    </w:p>
    <w:p w14:paraId="31C43161" w14:textId="33CB877A" w:rsidR="009B5337" w:rsidRDefault="009B5337" w:rsidP="00357320">
      <w:pPr>
        <w:numPr>
          <w:ilvl w:val="0"/>
          <w:numId w:val="4"/>
        </w:numPr>
        <w:jc w:val="both"/>
        <w:outlineLvl w:val="0"/>
      </w:pPr>
      <w:r>
        <w:lastRenderedPageBreak/>
        <w:t>ettevalmistavad tööd (mahamärkimistööd, likvideerimis- ja lammutustööd);</w:t>
      </w:r>
    </w:p>
    <w:p w14:paraId="221917F5" w14:textId="149A5FB1" w:rsidR="00CD6D74" w:rsidRDefault="00CD6D74" w:rsidP="00357320">
      <w:pPr>
        <w:numPr>
          <w:ilvl w:val="0"/>
          <w:numId w:val="4"/>
        </w:numPr>
        <w:jc w:val="both"/>
        <w:outlineLvl w:val="0"/>
      </w:pPr>
      <w:proofErr w:type="spellStart"/>
      <w:r>
        <w:t>Ol.ol</w:t>
      </w:r>
      <w:proofErr w:type="spellEnd"/>
      <w:r>
        <w:t>. valgustite, õhukaabelliini ja puitmastide utiliseerimine;</w:t>
      </w:r>
    </w:p>
    <w:p w14:paraId="29579FFB" w14:textId="59232190" w:rsidR="006C17F9" w:rsidRDefault="006C17F9" w:rsidP="00357320">
      <w:pPr>
        <w:numPr>
          <w:ilvl w:val="0"/>
          <w:numId w:val="4"/>
        </w:numPr>
        <w:jc w:val="both"/>
        <w:outlineLvl w:val="0"/>
      </w:pPr>
      <w:r>
        <w:t>valgustuse rajamine</w:t>
      </w:r>
      <w:r w:rsidR="00CD6D74">
        <w:t>;</w:t>
      </w:r>
    </w:p>
    <w:p w14:paraId="6AABEA44" w14:textId="77777777" w:rsidR="000C1E48" w:rsidRDefault="000C1E48" w:rsidP="00357320">
      <w:pPr>
        <w:numPr>
          <w:ilvl w:val="0"/>
          <w:numId w:val="4"/>
        </w:numPr>
        <w:jc w:val="both"/>
        <w:outlineLvl w:val="0"/>
      </w:pPr>
      <w:r>
        <w:t>vajadusel tehnovõrkude ümbertõstmine;</w:t>
      </w:r>
    </w:p>
    <w:p w14:paraId="60471289" w14:textId="77777777" w:rsidR="009B5337" w:rsidRDefault="009B5337" w:rsidP="00357320">
      <w:pPr>
        <w:numPr>
          <w:ilvl w:val="0"/>
          <w:numId w:val="4"/>
        </w:numPr>
        <w:jc w:val="both"/>
        <w:outlineLvl w:val="0"/>
      </w:pPr>
      <w:r>
        <w:t>haljastus- ja taastamistööd;</w:t>
      </w:r>
    </w:p>
    <w:p w14:paraId="6A961C43" w14:textId="1D15A6FA" w:rsidR="001059A9" w:rsidRPr="00FD03FE" w:rsidRDefault="006C17F9" w:rsidP="00357320">
      <w:pPr>
        <w:numPr>
          <w:ilvl w:val="0"/>
          <w:numId w:val="4"/>
        </w:numPr>
        <w:jc w:val="both"/>
        <w:outlineLvl w:val="0"/>
      </w:pPr>
      <w:r>
        <w:t xml:space="preserve">tööaegne </w:t>
      </w:r>
      <w:r w:rsidR="001059A9">
        <w:t>liikluskorraldus</w:t>
      </w:r>
      <w:r w:rsidR="00D544B8">
        <w:t>;</w:t>
      </w:r>
    </w:p>
    <w:p w14:paraId="1BC7228A" w14:textId="77777777" w:rsidR="009B5337" w:rsidRDefault="009B5337" w:rsidP="00357320">
      <w:pPr>
        <w:numPr>
          <w:ilvl w:val="0"/>
          <w:numId w:val="4"/>
        </w:numPr>
        <w:jc w:val="both"/>
        <w:outlineLvl w:val="0"/>
      </w:pPr>
      <w:r>
        <w:t>jt lõppeesmärgi saavutamiseks vajalikud ja heast ehitustavast tulenevad tööd.</w:t>
      </w:r>
    </w:p>
    <w:p w14:paraId="4184C6B3" w14:textId="77777777" w:rsidR="009B5337" w:rsidRDefault="009B5337" w:rsidP="00357320">
      <w:pPr>
        <w:jc w:val="both"/>
        <w:outlineLvl w:val="0"/>
        <w:rPr>
          <w:u w:val="single"/>
        </w:rPr>
      </w:pPr>
    </w:p>
    <w:p w14:paraId="1DC78E35" w14:textId="77777777" w:rsidR="0058732D" w:rsidRDefault="009B5337" w:rsidP="00357320">
      <w:pPr>
        <w:jc w:val="both"/>
        <w:outlineLvl w:val="0"/>
        <w:rPr>
          <w:u w:val="single"/>
        </w:rPr>
      </w:pPr>
      <w:r>
        <w:rPr>
          <w:u w:val="single"/>
        </w:rPr>
        <w:t>Tööde maht</w:t>
      </w:r>
    </w:p>
    <w:p w14:paraId="0BA73E2E" w14:textId="77777777" w:rsidR="000162AE" w:rsidRDefault="009B5337" w:rsidP="00357320">
      <w:pPr>
        <w:pStyle w:val="Taandegakehatekst"/>
        <w:numPr>
          <w:ilvl w:val="0"/>
          <w:numId w:val="7"/>
        </w:numPr>
        <w:jc w:val="both"/>
      </w:pPr>
      <w:r>
        <w:t>Lisaks pro</w:t>
      </w:r>
      <w:r w:rsidR="008D46FD">
        <w:t>jektdokumentatsioonile tuleb pa</w:t>
      </w:r>
      <w:r>
        <w:t>kkujal töömahu täpsel määramisel  lähtuda tegelikust olukorrast töömaal. Kõigil pakkujatel lasub kohustus tutvuda pakkumuse koostamise etapis töömaal olemasoleva olukorraga</w:t>
      </w:r>
      <w:r w:rsidR="00B61A86">
        <w:t xml:space="preserve"> ja</w:t>
      </w:r>
      <w:r>
        <w:t xml:space="preserve"> mahud ise üle kontrollida</w:t>
      </w:r>
      <w:r w:rsidR="00B61A86">
        <w:t>.</w:t>
      </w:r>
      <w:r>
        <w:t xml:space="preserve"> </w:t>
      </w:r>
    </w:p>
    <w:p w14:paraId="2A0923A8" w14:textId="77777777" w:rsidR="009B5337" w:rsidRDefault="009B5337" w:rsidP="00357320">
      <w:pPr>
        <w:numPr>
          <w:ilvl w:val="0"/>
          <w:numId w:val="7"/>
        </w:numPr>
        <w:jc w:val="both"/>
      </w:pPr>
      <w:r>
        <w:t xml:space="preserve">Töövõtu mahtu kuulub tööde teostamiseks ja üleandmiseks vajalike kooskõlastuste ja lubade  hankimine koos vastavate toimingutega seotud kulude eest tasumisega, samuti </w:t>
      </w:r>
      <w:r w:rsidR="000C1E48">
        <w:t>t</w:t>
      </w:r>
      <w:r>
        <w:t>öö üleandmiseks vajalike katsetuste, kontrollide ja mõõtmiste teostamine.</w:t>
      </w:r>
    </w:p>
    <w:p w14:paraId="3BA9BFAB" w14:textId="77777777" w:rsidR="009B5337" w:rsidRDefault="009B5337" w:rsidP="00357320">
      <w:pPr>
        <w:numPr>
          <w:ilvl w:val="0"/>
          <w:numId w:val="7"/>
        </w:numPr>
        <w:jc w:val="both"/>
      </w:pPr>
      <w:r>
        <w:t xml:space="preserve">Pakkumuses tuleb arvestada kõikide tööde teostamisega ja tegevustega, samuti kõikide materjalide, toodete ja seadmete ja tööjõu hankimisega, mis on vajalikud hankelepingu nõuetekohaseks täitmiseks ehk ehitusobjekti valmimiseni ning selle üleandmiseni </w:t>
      </w:r>
      <w:r w:rsidR="000C1E48">
        <w:t>t</w:t>
      </w:r>
      <w:r>
        <w:t>ellijale.</w:t>
      </w:r>
    </w:p>
    <w:p w14:paraId="7A2AE294" w14:textId="77777777" w:rsidR="009B5337" w:rsidRPr="00625F2E" w:rsidRDefault="009B5337" w:rsidP="00357320">
      <w:pPr>
        <w:numPr>
          <w:ilvl w:val="0"/>
          <w:numId w:val="7"/>
        </w:numPr>
        <w:jc w:val="both"/>
        <w:rPr>
          <w:b/>
          <w:bCs/>
        </w:rPr>
      </w:pPr>
      <w:r>
        <w:t>Pakkumuses tuleb arvestada tööde teostamisega, mis ei ole hankedokumendis otseselt kirjeldatud, kuid tulenevalt ehitusobjekti tegelikust olukorrast on vajalikud teostada. Hankija eeldab, et pakkuja on pakkumust koostades tutvunud objekti olemasoleva olukorraga ning on oma pakkumuses arvestanud kõikide vajalike töödega, tuginedes tööde vajaduse ja hinna määramisel oma professionaalsusele ja sarnaste tööde teostamise kogemusele.</w:t>
      </w:r>
    </w:p>
    <w:p w14:paraId="5A433157" w14:textId="77777777" w:rsidR="009B5337" w:rsidRDefault="009B5337" w:rsidP="00357320">
      <w:pPr>
        <w:jc w:val="both"/>
        <w:outlineLvl w:val="0"/>
        <w:rPr>
          <w:bCs/>
          <w:u w:val="single"/>
        </w:rPr>
      </w:pPr>
    </w:p>
    <w:p w14:paraId="5EC8ADE5" w14:textId="77777777" w:rsidR="009B5337" w:rsidRDefault="009B5337" w:rsidP="00357320">
      <w:pPr>
        <w:jc w:val="both"/>
        <w:outlineLvl w:val="0"/>
        <w:rPr>
          <w:bCs/>
          <w:u w:val="single"/>
        </w:rPr>
      </w:pPr>
      <w:r>
        <w:rPr>
          <w:bCs/>
          <w:u w:val="single"/>
        </w:rPr>
        <w:t>Töö teostamise aeg</w:t>
      </w:r>
    </w:p>
    <w:p w14:paraId="53C41B7B" w14:textId="77777777" w:rsidR="009B5337" w:rsidRDefault="009B5337" w:rsidP="00357320">
      <w:pPr>
        <w:pStyle w:val="Pealkiri2"/>
        <w:numPr>
          <w:ilvl w:val="0"/>
          <w:numId w:val="3"/>
        </w:numPr>
        <w:jc w:val="both"/>
        <w:rPr>
          <w:b w:val="0"/>
        </w:rPr>
      </w:pPr>
      <w:r w:rsidRPr="00713D29">
        <w:rPr>
          <w:b w:val="0"/>
        </w:rPr>
        <w:t xml:space="preserve">Hankelepingu täitmist saab alustada </w:t>
      </w:r>
      <w:r w:rsidR="00795952">
        <w:rPr>
          <w:b w:val="0"/>
        </w:rPr>
        <w:t>koheselt pärast lepingu sõlmimist</w:t>
      </w:r>
      <w:r w:rsidR="001E0A80">
        <w:rPr>
          <w:b w:val="0"/>
        </w:rPr>
        <w:t>.</w:t>
      </w:r>
    </w:p>
    <w:p w14:paraId="4FC516EF" w14:textId="07359815" w:rsidR="00AB1408" w:rsidRDefault="00AB1408" w:rsidP="00357320">
      <w:pPr>
        <w:numPr>
          <w:ilvl w:val="0"/>
          <w:numId w:val="3"/>
        </w:numPr>
        <w:jc w:val="both"/>
        <w:rPr>
          <w:lang w:eastAsia="et-EE"/>
        </w:rPr>
      </w:pPr>
      <w:r>
        <w:rPr>
          <w:lang w:eastAsia="et-EE"/>
        </w:rPr>
        <w:t xml:space="preserve">Hankelepingu täitmise tähtaeg on </w:t>
      </w:r>
      <w:r w:rsidR="00F775D6">
        <w:rPr>
          <w:b/>
          <w:bCs/>
          <w:lang w:eastAsia="et-EE"/>
        </w:rPr>
        <w:t>kolm kuud lepingu sõlmimisest</w:t>
      </w:r>
      <w:r>
        <w:rPr>
          <w:lang w:eastAsia="et-EE"/>
        </w:rPr>
        <w:t xml:space="preserve"> </w:t>
      </w:r>
    </w:p>
    <w:p w14:paraId="570D9F39" w14:textId="77777777" w:rsidR="00FC59DB" w:rsidRDefault="00FC59DB" w:rsidP="00357320">
      <w:pPr>
        <w:jc w:val="both"/>
        <w:outlineLvl w:val="0"/>
        <w:rPr>
          <w:bCs/>
          <w:u w:val="single"/>
        </w:rPr>
      </w:pPr>
    </w:p>
    <w:p w14:paraId="40A223BA" w14:textId="77777777" w:rsidR="009B5337" w:rsidRDefault="009B5337" w:rsidP="00357320">
      <w:pPr>
        <w:jc w:val="both"/>
        <w:outlineLvl w:val="0"/>
        <w:rPr>
          <w:bCs/>
          <w:u w:val="single"/>
        </w:rPr>
      </w:pPr>
      <w:r>
        <w:rPr>
          <w:bCs/>
          <w:u w:val="single"/>
        </w:rPr>
        <w:t>Omandiõigus</w:t>
      </w:r>
    </w:p>
    <w:p w14:paraId="27415E21" w14:textId="77777777" w:rsidR="009B5337" w:rsidRDefault="009B5337" w:rsidP="00357320">
      <w:pPr>
        <w:numPr>
          <w:ilvl w:val="0"/>
          <w:numId w:val="3"/>
        </w:numPr>
        <w:jc w:val="both"/>
        <w:outlineLvl w:val="0"/>
        <w:rPr>
          <w:bCs/>
        </w:rPr>
      </w:pPr>
      <w:r>
        <w:rPr>
          <w:bCs/>
        </w:rPr>
        <w:t xml:space="preserve">Hankelepingu täitmise käigus ei tohi </w:t>
      </w:r>
      <w:r w:rsidR="000C1E48">
        <w:rPr>
          <w:bCs/>
        </w:rPr>
        <w:t>t</w:t>
      </w:r>
      <w:r>
        <w:rPr>
          <w:bCs/>
        </w:rPr>
        <w:t xml:space="preserve">öövõtja kahjustada </w:t>
      </w:r>
      <w:proofErr w:type="spellStart"/>
      <w:r>
        <w:rPr>
          <w:bCs/>
        </w:rPr>
        <w:t>töömaa</w:t>
      </w:r>
      <w:proofErr w:type="spellEnd"/>
      <w:r>
        <w:rPr>
          <w:bCs/>
        </w:rPr>
        <w:t xml:space="preserve"> koosseisu mittekuuluvate  kinnistute territooriumi ja vallasvara;</w:t>
      </w:r>
    </w:p>
    <w:p w14:paraId="11C4DD60" w14:textId="77777777" w:rsidR="009B5337" w:rsidRDefault="009B5337" w:rsidP="00357320">
      <w:pPr>
        <w:numPr>
          <w:ilvl w:val="0"/>
          <w:numId w:val="3"/>
        </w:numPr>
        <w:jc w:val="both"/>
        <w:outlineLvl w:val="0"/>
        <w:rPr>
          <w:bCs/>
        </w:rPr>
      </w:pPr>
      <w:r>
        <w:rPr>
          <w:bCs/>
        </w:rPr>
        <w:t xml:space="preserve">Kõik vajalikud kokkulepped töömaaga piirnevate või mõistlikus kauguses asuvate kinnistute omanikega nende kinnistute territooriumi kasutamiseks materjalide ajutise ladestuskohana sõlmib </w:t>
      </w:r>
      <w:r w:rsidR="000C1E48">
        <w:rPr>
          <w:bCs/>
        </w:rPr>
        <w:t>t</w:t>
      </w:r>
      <w:r>
        <w:rPr>
          <w:bCs/>
        </w:rPr>
        <w:t xml:space="preserve">öövõtja, kusjuures </w:t>
      </w:r>
      <w:r w:rsidR="000C1E48">
        <w:rPr>
          <w:bCs/>
        </w:rPr>
        <w:t>t</w:t>
      </w:r>
      <w:r>
        <w:rPr>
          <w:bCs/>
        </w:rPr>
        <w:t>öövõtjal lasuvad sealjuures kõik asjaga seotud taastamiskohustused.</w:t>
      </w:r>
    </w:p>
    <w:p w14:paraId="486D66FE" w14:textId="77777777" w:rsidR="009B5337" w:rsidRDefault="009B5337" w:rsidP="00357320">
      <w:pPr>
        <w:jc w:val="both"/>
        <w:outlineLvl w:val="0"/>
        <w:rPr>
          <w:bCs/>
          <w:u w:val="single"/>
        </w:rPr>
      </w:pPr>
    </w:p>
    <w:p w14:paraId="2815042D" w14:textId="77777777" w:rsidR="009B5337" w:rsidRDefault="009B5337" w:rsidP="00357320">
      <w:pPr>
        <w:jc w:val="both"/>
        <w:outlineLvl w:val="0"/>
        <w:rPr>
          <w:bCs/>
          <w:u w:val="single"/>
        </w:rPr>
      </w:pPr>
      <w:r>
        <w:rPr>
          <w:bCs/>
          <w:u w:val="single"/>
        </w:rPr>
        <w:t>Kaeved jm pinnasega seotud tööd</w:t>
      </w:r>
    </w:p>
    <w:p w14:paraId="494E0D63" w14:textId="77777777" w:rsidR="009B5337" w:rsidRDefault="009B5337" w:rsidP="00357320">
      <w:pPr>
        <w:numPr>
          <w:ilvl w:val="0"/>
          <w:numId w:val="3"/>
        </w:numPr>
        <w:jc w:val="both"/>
        <w:outlineLvl w:val="0"/>
        <w:rPr>
          <w:bCs/>
        </w:rPr>
      </w:pPr>
      <w:r>
        <w:rPr>
          <w:bCs/>
        </w:rPr>
        <w:t>Töömaalt väljakaevatud pinnast võib ajutiselt hoida töömaal selliselt, et ei takistata kinnistutele juurdepääsu ja tekitata taastumatut kahju olemasolevale kõrg- ja madalhaljastusele;</w:t>
      </w:r>
    </w:p>
    <w:p w14:paraId="52645D0A" w14:textId="0FEA24C7" w:rsidR="009B5337" w:rsidRDefault="009B5337" w:rsidP="00357320">
      <w:pPr>
        <w:pStyle w:val="Loendilik"/>
        <w:numPr>
          <w:ilvl w:val="0"/>
          <w:numId w:val="3"/>
        </w:numPr>
        <w:jc w:val="both"/>
        <w:outlineLvl w:val="0"/>
        <w:rPr>
          <w:bCs/>
        </w:rPr>
      </w:pPr>
      <w:r w:rsidRPr="001326FB">
        <w:rPr>
          <w:bCs/>
        </w:rPr>
        <w:t>Väljakaeva</w:t>
      </w:r>
      <w:r w:rsidR="00F60912" w:rsidRPr="001326FB">
        <w:rPr>
          <w:bCs/>
        </w:rPr>
        <w:t>t</w:t>
      </w:r>
      <w:r w:rsidRPr="001326FB">
        <w:rPr>
          <w:bCs/>
        </w:rPr>
        <w:t xml:space="preserve">ud pinnas, mida ei saa antud ehitustöödel taaskasutada, </w:t>
      </w:r>
      <w:r w:rsidR="003B1CCF" w:rsidRPr="001326FB">
        <w:rPr>
          <w:bCs/>
        </w:rPr>
        <w:t>ladu</w:t>
      </w:r>
      <w:r w:rsidR="00EA2FA1" w:rsidRPr="001326FB">
        <w:rPr>
          <w:bCs/>
        </w:rPr>
        <w:t>st</w:t>
      </w:r>
      <w:r w:rsidR="003B1CCF" w:rsidRPr="001326FB">
        <w:rPr>
          <w:bCs/>
        </w:rPr>
        <w:t>a</w:t>
      </w:r>
      <w:r w:rsidR="00EA2FA1" w:rsidRPr="001326FB">
        <w:rPr>
          <w:bCs/>
        </w:rPr>
        <w:t>ta</w:t>
      </w:r>
      <w:r w:rsidR="003B1CCF" w:rsidRPr="001326FB">
        <w:rPr>
          <w:bCs/>
        </w:rPr>
        <w:t xml:space="preserve">kse </w:t>
      </w:r>
      <w:r w:rsidR="000C1E48" w:rsidRPr="001326FB">
        <w:rPr>
          <w:bCs/>
        </w:rPr>
        <w:t>t</w:t>
      </w:r>
      <w:r w:rsidRPr="001326FB">
        <w:rPr>
          <w:bCs/>
        </w:rPr>
        <w:t xml:space="preserve">öövõtja poolt </w:t>
      </w:r>
      <w:r w:rsidR="00354B9C" w:rsidRPr="001326FB">
        <w:rPr>
          <w:bCs/>
        </w:rPr>
        <w:t>Tapa valla</w:t>
      </w:r>
      <w:r w:rsidRPr="001326FB">
        <w:rPr>
          <w:bCs/>
        </w:rPr>
        <w:t xml:space="preserve"> haldusterritooriumil. Täpne asukoht t</w:t>
      </w:r>
      <w:r w:rsidR="006C7A8E" w:rsidRPr="001326FB">
        <w:rPr>
          <w:bCs/>
        </w:rPr>
        <w:t xml:space="preserve">äpsustatakse </w:t>
      </w:r>
      <w:r w:rsidR="000C1E48" w:rsidRPr="001326FB">
        <w:rPr>
          <w:bCs/>
        </w:rPr>
        <w:t>t</w:t>
      </w:r>
      <w:r w:rsidR="006C7A8E" w:rsidRPr="001326FB">
        <w:rPr>
          <w:bCs/>
        </w:rPr>
        <w:t xml:space="preserve">ellijaga enne </w:t>
      </w:r>
      <w:r w:rsidR="000C1E48" w:rsidRPr="001326FB">
        <w:rPr>
          <w:bCs/>
        </w:rPr>
        <w:t>t</w:t>
      </w:r>
      <w:r w:rsidR="006C7A8E" w:rsidRPr="001326FB">
        <w:rPr>
          <w:bCs/>
        </w:rPr>
        <w:t>öö</w:t>
      </w:r>
      <w:r w:rsidRPr="001326FB">
        <w:rPr>
          <w:bCs/>
        </w:rPr>
        <w:t xml:space="preserve"> alustamist. Töövõtja kohustuste hulka kuulub pinnase vedu </w:t>
      </w:r>
      <w:r w:rsidR="000C1E48" w:rsidRPr="001326FB">
        <w:rPr>
          <w:bCs/>
        </w:rPr>
        <w:t>t</w:t>
      </w:r>
      <w:r w:rsidRPr="001326FB">
        <w:rPr>
          <w:bCs/>
        </w:rPr>
        <w:t>ellija määratud asuk</w:t>
      </w:r>
      <w:r w:rsidR="00CE0C23">
        <w:rPr>
          <w:bCs/>
        </w:rPr>
        <w:t>ohta</w:t>
      </w:r>
      <w:r w:rsidR="00906182">
        <w:rPr>
          <w:bCs/>
        </w:rPr>
        <w:t xml:space="preserve"> objektist </w:t>
      </w:r>
      <w:r w:rsidR="006C17F9">
        <w:rPr>
          <w:bCs/>
        </w:rPr>
        <w:t>2</w:t>
      </w:r>
      <w:r w:rsidR="00906182">
        <w:rPr>
          <w:bCs/>
        </w:rPr>
        <w:t xml:space="preserve"> km raadiuses</w:t>
      </w:r>
      <w:r w:rsidR="00CE0C23">
        <w:rPr>
          <w:bCs/>
        </w:rPr>
        <w:t xml:space="preserve"> ja sealsed planeerimistööd.</w:t>
      </w:r>
    </w:p>
    <w:p w14:paraId="284CE0B2" w14:textId="77777777" w:rsidR="00E51DB1" w:rsidRDefault="00E51DB1" w:rsidP="00357320">
      <w:pPr>
        <w:jc w:val="both"/>
        <w:outlineLvl w:val="0"/>
        <w:rPr>
          <w:u w:val="single"/>
        </w:rPr>
      </w:pPr>
    </w:p>
    <w:p w14:paraId="680107CA" w14:textId="4EA84431" w:rsidR="009B5337" w:rsidRPr="00906182" w:rsidRDefault="009B5337" w:rsidP="00357320">
      <w:pPr>
        <w:jc w:val="both"/>
        <w:outlineLvl w:val="0"/>
        <w:rPr>
          <w:u w:val="single"/>
        </w:rPr>
      </w:pPr>
      <w:r w:rsidRPr="00906182">
        <w:rPr>
          <w:u w:val="single"/>
        </w:rPr>
        <w:t xml:space="preserve">Hankelepingu täitmisel peab </w:t>
      </w:r>
      <w:r w:rsidR="000C1E48" w:rsidRPr="00906182">
        <w:rPr>
          <w:u w:val="single"/>
        </w:rPr>
        <w:t>t</w:t>
      </w:r>
      <w:r w:rsidRPr="00906182">
        <w:rPr>
          <w:u w:val="single"/>
        </w:rPr>
        <w:t>öövõtja  arvestama järgnevaga:</w:t>
      </w:r>
    </w:p>
    <w:p w14:paraId="0A94ABF3" w14:textId="77777777" w:rsidR="009B5337" w:rsidRPr="00906182" w:rsidRDefault="001E0A80" w:rsidP="00357320">
      <w:pPr>
        <w:keepNext/>
        <w:numPr>
          <w:ilvl w:val="0"/>
          <w:numId w:val="3"/>
        </w:numPr>
        <w:autoSpaceDE w:val="0"/>
        <w:autoSpaceDN w:val="0"/>
        <w:adjustRightInd w:val="0"/>
        <w:jc w:val="both"/>
      </w:pPr>
      <w:r w:rsidRPr="00906182">
        <w:t>T</w:t>
      </w:r>
      <w:r w:rsidR="009B5337" w:rsidRPr="00906182">
        <w:t xml:space="preserve">öövõtja ja kolmandate isikute </w:t>
      </w:r>
      <w:r w:rsidR="000D6ED2" w:rsidRPr="00906182">
        <w:t>turvalisuse tagamisest tuleneva</w:t>
      </w:r>
      <w:r w:rsidR="009B5337" w:rsidRPr="00906182">
        <w:t xml:space="preserve"> vajaduse ilmnemisel tuleb </w:t>
      </w:r>
      <w:r w:rsidR="000C1E48" w:rsidRPr="00906182">
        <w:t>t</w:t>
      </w:r>
      <w:r w:rsidR="009B5337" w:rsidRPr="00906182">
        <w:t xml:space="preserve">öövõtjal paigaldada omal kulul </w:t>
      </w:r>
      <w:proofErr w:type="spellStart"/>
      <w:r w:rsidR="009B5337" w:rsidRPr="00906182">
        <w:t>töömaa</w:t>
      </w:r>
      <w:proofErr w:type="spellEnd"/>
      <w:r w:rsidR="009B5337" w:rsidRPr="00906182">
        <w:t xml:space="preserve"> ja sellel asuvate kaevikute e</w:t>
      </w:r>
      <w:r w:rsidRPr="00906182">
        <w:t>raldamiseks piirdeaiad.</w:t>
      </w:r>
    </w:p>
    <w:p w14:paraId="6C14CC1C" w14:textId="77777777" w:rsidR="009B5337" w:rsidRPr="00906182" w:rsidRDefault="001E0A80" w:rsidP="00357320">
      <w:pPr>
        <w:numPr>
          <w:ilvl w:val="0"/>
          <w:numId w:val="3"/>
        </w:numPr>
        <w:jc w:val="both"/>
        <w:outlineLvl w:val="0"/>
        <w:rPr>
          <w:bCs/>
        </w:rPr>
      </w:pPr>
      <w:r w:rsidRPr="00906182">
        <w:rPr>
          <w:bCs/>
        </w:rPr>
        <w:t>T</w:t>
      </w:r>
      <w:r w:rsidR="009B5337" w:rsidRPr="00906182">
        <w:rPr>
          <w:bCs/>
        </w:rPr>
        <w:t>öö teostamine ei tohi takistada kinnistutele juurdepääsu</w:t>
      </w:r>
      <w:r w:rsidRPr="00906182">
        <w:rPr>
          <w:bCs/>
        </w:rPr>
        <w:t>.</w:t>
      </w:r>
    </w:p>
    <w:p w14:paraId="74E74B60" w14:textId="77777777" w:rsidR="009B5337" w:rsidRPr="00906182" w:rsidRDefault="001E0A80" w:rsidP="00357320">
      <w:pPr>
        <w:numPr>
          <w:ilvl w:val="0"/>
          <w:numId w:val="3"/>
        </w:numPr>
        <w:jc w:val="both"/>
        <w:outlineLvl w:val="0"/>
        <w:rPr>
          <w:bCs/>
        </w:rPr>
      </w:pPr>
      <w:r w:rsidRPr="00906182">
        <w:rPr>
          <w:bCs/>
        </w:rPr>
        <w:t>T</w:t>
      </w:r>
      <w:r w:rsidR="009B5337" w:rsidRPr="00906182">
        <w:rPr>
          <w:bCs/>
        </w:rPr>
        <w:t>öö teostamine ei tohi kahjustada kolmandate isikute kinnis- ja vallasvara</w:t>
      </w:r>
      <w:r w:rsidRPr="00906182">
        <w:rPr>
          <w:bCs/>
        </w:rPr>
        <w:t>.</w:t>
      </w:r>
    </w:p>
    <w:p w14:paraId="68438FCB" w14:textId="77777777" w:rsidR="009B5337" w:rsidRPr="00906182" w:rsidRDefault="001E0A80" w:rsidP="00357320">
      <w:pPr>
        <w:numPr>
          <w:ilvl w:val="0"/>
          <w:numId w:val="3"/>
        </w:numPr>
        <w:jc w:val="both"/>
      </w:pPr>
      <w:r w:rsidRPr="00906182">
        <w:lastRenderedPageBreak/>
        <w:t>T</w:t>
      </w:r>
      <w:r w:rsidR="009B5337" w:rsidRPr="00906182">
        <w:t xml:space="preserve">öö peab olema teostatud ja </w:t>
      </w:r>
      <w:proofErr w:type="spellStart"/>
      <w:r w:rsidR="009B5337" w:rsidRPr="00906182">
        <w:t>töömaa</w:t>
      </w:r>
      <w:proofErr w:type="spellEnd"/>
      <w:r w:rsidR="009B5337" w:rsidRPr="00906182">
        <w:t xml:space="preserve"> korraldatud selliselt, et tööde teostamise ajal oleks tagatud </w:t>
      </w:r>
      <w:r w:rsidR="000C1E48" w:rsidRPr="00906182">
        <w:t>t</w:t>
      </w:r>
      <w:r w:rsidR="009B5337" w:rsidRPr="00906182">
        <w:t>öövõtja ja kolmandate isikute ohutus kuni hankelepingu nõuetekohase täitmiseni</w:t>
      </w:r>
      <w:r w:rsidRPr="00906182">
        <w:t>.</w:t>
      </w:r>
    </w:p>
    <w:p w14:paraId="02F04A92" w14:textId="77777777" w:rsidR="009B5337" w:rsidRPr="00906182" w:rsidRDefault="001E0A80" w:rsidP="00357320">
      <w:pPr>
        <w:pStyle w:val="Lisatekst"/>
        <w:keepNext/>
        <w:numPr>
          <w:ilvl w:val="0"/>
          <w:numId w:val="3"/>
        </w:numPr>
        <w:tabs>
          <w:tab w:val="clear" w:pos="6521"/>
          <w:tab w:val="left" w:pos="426"/>
        </w:tabs>
        <w:spacing w:before="0"/>
        <w:rPr>
          <w:noProof w:val="0"/>
        </w:rPr>
      </w:pPr>
      <w:r w:rsidRPr="00906182">
        <w:rPr>
          <w:noProof w:val="0"/>
        </w:rPr>
        <w:t>M</w:t>
      </w:r>
      <w:r w:rsidR="009B5337" w:rsidRPr="00906182">
        <w:rPr>
          <w:noProof w:val="0"/>
        </w:rPr>
        <w:t xml:space="preserve">aterjalide </w:t>
      </w:r>
      <w:r w:rsidR="00405EA0" w:rsidRPr="00906182">
        <w:rPr>
          <w:noProof w:val="0"/>
        </w:rPr>
        <w:t xml:space="preserve">ladustamise </w:t>
      </w:r>
      <w:r w:rsidR="009B5337" w:rsidRPr="00906182">
        <w:rPr>
          <w:noProof w:val="0"/>
        </w:rPr>
        <w:t xml:space="preserve">asukohad tuleb kooskõlastada </w:t>
      </w:r>
      <w:r w:rsidR="00506BC9" w:rsidRPr="00906182">
        <w:rPr>
          <w:noProof w:val="0"/>
        </w:rPr>
        <w:t>t</w:t>
      </w:r>
      <w:r w:rsidR="009B5337" w:rsidRPr="00906182">
        <w:rPr>
          <w:noProof w:val="0"/>
        </w:rPr>
        <w:t>ellijaga</w:t>
      </w:r>
      <w:r w:rsidRPr="00906182">
        <w:rPr>
          <w:noProof w:val="0"/>
        </w:rPr>
        <w:t>.</w:t>
      </w:r>
    </w:p>
    <w:p w14:paraId="57698520" w14:textId="77777777" w:rsidR="009B5337" w:rsidRPr="00906182" w:rsidRDefault="001E0A80" w:rsidP="00357320">
      <w:pPr>
        <w:numPr>
          <w:ilvl w:val="0"/>
          <w:numId w:val="3"/>
        </w:numPr>
        <w:jc w:val="both"/>
        <w:outlineLvl w:val="0"/>
      </w:pPr>
      <w:r w:rsidRPr="00906182">
        <w:t>T</w:t>
      </w:r>
      <w:r w:rsidR="009B5337" w:rsidRPr="00906182">
        <w:t>öövõtja utiliseerib kõik töövõtu käigus tekkivad jäätmed nõuetekohaselt ja omal kulul</w:t>
      </w:r>
      <w:r w:rsidRPr="00906182">
        <w:t>.</w:t>
      </w:r>
    </w:p>
    <w:p w14:paraId="55333C04" w14:textId="77777777" w:rsidR="001E0A80" w:rsidRPr="00906182" w:rsidRDefault="001E0A80" w:rsidP="00357320">
      <w:pPr>
        <w:numPr>
          <w:ilvl w:val="0"/>
          <w:numId w:val="16"/>
        </w:numPr>
        <w:autoSpaceDE w:val="0"/>
        <w:autoSpaceDN w:val="0"/>
        <w:jc w:val="both"/>
        <w:rPr>
          <w:lang w:eastAsia="et-EE"/>
        </w:rPr>
      </w:pPr>
      <w:r w:rsidRPr="00906182">
        <w:rPr>
          <w:lang w:eastAsia="et-EE"/>
        </w:rPr>
        <w:t xml:space="preserve">Töövõtja peab tööde teostamise ajal igapäevaselt hoidma korras </w:t>
      </w:r>
      <w:proofErr w:type="spellStart"/>
      <w:r w:rsidRPr="00906182">
        <w:rPr>
          <w:lang w:eastAsia="et-EE"/>
        </w:rPr>
        <w:t>töömaa</w:t>
      </w:r>
      <w:proofErr w:type="spellEnd"/>
      <w:r w:rsidRPr="00906182">
        <w:rPr>
          <w:lang w:eastAsia="et-EE"/>
        </w:rPr>
        <w:t xml:space="preserve"> ja selle vahetu ümbruse, mitte ladustama haljasalal pikaajaliselt ehitusmaterjale või jäätmeid ilma tellija nõusolekuta.</w:t>
      </w:r>
    </w:p>
    <w:p w14:paraId="3BE7276F" w14:textId="77777777" w:rsidR="00B1169A" w:rsidRPr="001E0A80" w:rsidRDefault="00B1169A" w:rsidP="00357320">
      <w:pPr>
        <w:autoSpaceDE w:val="0"/>
        <w:autoSpaceDN w:val="0"/>
        <w:jc w:val="both"/>
        <w:rPr>
          <w:lang w:eastAsia="et-EE"/>
        </w:rPr>
      </w:pPr>
    </w:p>
    <w:p w14:paraId="2DE0B34E" w14:textId="77777777" w:rsidR="009B5337" w:rsidRDefault="00920404" w:rsidP="00357320">
      <w:pPr>
        <w:pStyle w:val="HTML-eelvormindatud"/>
        <w:jc w:val="both"/>
        <w:rPr>
          <w:rFonts w:ascii="Times New Roman" w:hAnsi="Times New Roman" w:cs="Times New Roman"/>
          <w:b/>
          <w:sz w:val="24"/>
          <w:szCs w:val="24"/>
        </w:rPr>
      </w:pPr>
      <w:r>
        <w:rPr>
          <w:rFonts w:ascii="Times New Roman" w:hAnsi="Times New Roman" w:cs="Times New Roman"/>
          <w:b/>
          <w:sz w:val="24"/>
          <w:szCs w:val="24"/>
        </w:rPr>
        <w:t>4</w:t>
      </w:r>
      <w:r w:rsidR="009B5337">
        <w:rPr>
          <w:rFonts w:ascii="Times New Roman" w:hAnsi="Times New Roman" w:cs="Times New Roman"/>
          <w:b/>
          <w:sz w:val="24"/>
          <w:szCs w:val="24"/>
        </w:rPr>
        <w:t>. Kaasnevad tööd ja toimingud</w:t>
      </w:r>
    </w:p>
    <w:p w14:paraId="204B72FB" w14:textId="77777777" w:rsidR="009B5337" w:rsidRDefault="009B5337" w:rsidP="00357320">
      <w:pPr>
        <w:jc w:val="both"/>
      </w:pPr>
      <w:r>
        <w:t>Töövõtja kohustuste hulka kuuluvad:</w:t>
      </w:r>
    </w:p>
    <w:p w14:paraId="0986D124" w14:textId="77777777" w:rsidR="009B5337" w:rsidRDefault="000C1E48" w:rsidP="00357320">
      <w:pPr>
        <w:numPr>
          <w:ilvl w:val="0"/>
          <w:numId w:val="15"/>
        </w:numPr>
        <w:jc w:val="both"/>
      </w:pPr>
      <w:r>
        <w:t>e</w:t>
      </w:r>
      <w:r w:rsidR="009B5337">
        <w:t>hituse dokumenteerimine ja tehnilise dokumentatsiooni täitmine;</w:t>
      </w:r>
    </w:p>
    <w:p w14:paraId="14121046" w14:textId="77777777" w:rsidR="009B5337" w:rsidRDefault="000C1E48" w:rsidP="00357320">
      <w:pPr>
        <w:numPr>
          <w:ilvl w:val="0"/>
          <w:numId w:val="15"/>
        </w:numPr>
        <w:jc w:val="both"/>
      </w:pPr>
      <w:proofErr w:type="spellStart"/>
      <w:r>
        <w:t>t</w:t>
      </w:r>
      <w:r w:rsidR="009B5337">
        <w:t>öömaa</w:t>
      </w:r>
      <w:proofErr w:type="spellEnd"/>
      <w:r w:rsidR="009B5337">
        <w:t xml:space="preserve"> korrald</w:t>
      </w:r>
      <w:r w:rsidR="00FA1D4E">
        <w:t>amine ehitustööde läbiviimiseks.</w:t>
      </w:r>
    </w:p>
    <w:p w14:paraId="1406F7C4" w14:textId="77777777" w:rsidR="000C1E48" w:rsidRDefault="000C1E48" w:rsidP="00357320">
      <w:pPr>
        <w:ind w:left="720"/>
        <w:jc w:val="both"/>
      </w:pPr>
    </w:p>
    <w:p w14:paraId="6A5BE5BB" w14:textId="77777777" w:rsidR="009B5337" w:rsidRDefault="00920404" w:rsidP="00357320">
      <w:pPr>
        <w:jc w:val="both"/>
        <w:rPr>
          <w:b/>
        </w:rPr>
      </w:pPr>
      <w:r>
        <w:rPr>
          <w:b/>
        </w:rPr>
        <w:t>5</w:t>
      </w:r>
      <w:r w:rsidR="009B5337">
        <w:rPr>
          <w:b/>
        </w:rPr>
        <w:t>. Alltöövõtjad</w:t>
      </w:r>
    </w:p>
    <w:p w14:paraId="6289145E" w14:textId="77777777" w:rsidR="009B5337" w:rsidRDefault="009B5337" w:rsidP="00357320">
      <w:pPr>
        <w:numPr>
          <w:ilvl w:val="0"/>
          <w:numId w:val="8"/>
        </w:numPr>
        <w:jc w:val="both"/>
      </w:pPr>
      <w:r>
        <w:t xml:space="preserve">Tellija ei aktsepteeri hankelepingu täitmisel alltöövõtjaid, kes ei ole oma tegevusvaldkonna nõuete kohaselt registreeritud  ja kellel on riiklike maksude tasumisel maksuvõlad. </w:t>
      </w:r>
    </w:p>
    <w:p w14:paraId="3FDF4765" w14:textId="77777777" w:rsidR="00C24E30" w:rsidRDefault="009B5337" w:rsidP="00357320">
      <w:pPr>
        <w:numPr>
          <w:ilvl w:val="0"/>
          <w:numId w:val="8"/>
        </w:numPr>
        <w:jc w:val="both"/>
      </w:pPr>
      <w:r>
        <w:t>Töövõtja on kohustat</w:t>
      </w:r>
      <w:r w:rsidR="000C1E48">
        <w:t xml:space="preserve">ud kooskõlastama </w:t>
      </w:r>
      <w:r w:rsidR="001E0A80">
        <w:t>t</w:t>
      </w:r>
      <w:r w:rsidR="000C1E48">
        <w:t>ellijaga kõik alltöövõtjad</w:t>
      </w:r>
      <w:r w:rsidR="00C24E30">
        <w:t>.</w:t>
      </w:r>
      <w:r w:rsidR="000C1E48">
        <w:t xml:space="preserve"> </w:t>
      </w:r>
    </w:p>
    <w:p w14:paraId="73C2C115" w14:textId="77777777" w:rsidR="009B5337" w:rsidRDefault="009B5337" w:rsidP="00357320">
      <w:pPr>
        <w:numPr>
          <w:ilvl w:val="0"/>
          <w:numId w:val="8"/>
        </w:numPr>
        <w:jc w:val="both"/>
      </w:pPr>
      <w:r>
        <w:t xml:space="preserve">Tellijal on õigus </w:t>
      </w:r>
      <w:r w:rsidR="001E0A80">
        <w:t>t</w:t>
      </w:r>
      <w:r>
        <w:t xml:space="preserve">öövõtja poolt soovitud alltöövõtja kasutamisest mitte lubada, kui tal on selleks asjakohane põhjendus. Tellijal on õigus nõuda alltöövõtja väljavahetamist, kui konkreetses töölõigus ilmnenud </w:t>
      </w:r>
      <w:r w:rsidR="001E0A80">
        <w:t>t</w:t>
      </w:r>
      <w:r>
        <w:t>ö</w:t>
      </w:r>
      <w:r w:rsidR="001326FB">
        <w:t>ö</w:t>
      </w:r>
      <w:r>
        <w:t xml:space="preserve">võtja poolne ehitusnormide või kvaliteedinõuete eiramine või mahajäämus töö teostamise graafikust seab </w:t>
      </w:r>
      <w:r w:rsidR="001E0A80">
        <w:t>t</w:t>
      </w:r>
      <w:r>
        <w:t>ellija hinnangul ohtu hankelepingu tingimuste (tähtpäev, maksumus jmt) täitmise.</w:t>
      </w:r>
    </w:p>
    <w:p w14:paraId="11764934" w14:textId="77777777" w:rsidR="009B5337" w:rsidRDefault="009B5337" w:rsidP="00357320">
      <w:pPr>
        <w:jc w:val="both"/>
        <w:rPr>
          <w:b/>
        </w:rPr>
      </w:pPr>
    </w:p>
    <w:p w14:paraId="01E30C10" w14:textId="77777777" w:rsidR="009B5337" w:rsidRDefault="00920404" w:rsidP="00357320">
      <w:pPr>
        <w:jc w:val="both"/>
        <w:rPr>
          <w:b/>
        </w:rPr>
      </w:pPr>
      <w:r>
        <w:rPr>
          <w:b/>
        </w:rPr>
        <w:t>6</w:t>
      </w:r>
      <w:r w:rsidR="009B5337">
        <w:rPr>
          <w:b/>
        </w:rPr>
        <w:t xml:space="preserve">. </w:t>
      </w:r>
      <w:r w:rsidR="008B64F6">
        <w:rPr>
          <w:b/>
        </w:rPr>
        <w:t xml:space="preserve"> </w:t>
      </w:r>
      <w:r w:rsidR="009B5337">
        <w:rPr>
          <w:b/>
        </w:rPr>
        <w:t>Samaväärsus</w:t>
      </w:r>
    </w:p>
    <w:p w14:paraId="7E526FD1" w14:textId="77777777" w:rsidR="009B5337" w:rsidRDefault="009B5337" w:rsidP="00357320">
      <w:pPr>
        <w:jc w:val="both"/>
      </w:pPr>
      <w:r>
        <w:t xml:space="preserve">Kõigi kasutatavate materjalide, seadmete, inventari jms tehnilised nõuded </w:t>
      </w:r>
      <w:r w:rsidR="00CE7781">
        <w:t>peavad vastam</w:t>
      </w:r>
      <w:r>
        <w:t>a  projektdokumentatsiooni</w:t>
      </w:r>
      <w:r w:rsidR="00CE7781">
        <w:t>le</w:t>
      </w:r>
      <w:r>
        <w:t xml:space="preserve">. Projektdokumentatsioonis esitatud tehnilised andmed on materjalile, seadmele, inventarile jms miinimumnõudeks. Kui toote ja materjali juures on nimetatud selle mark, tüüp või kaubamärk, võib pakkujad töö tegemiseks kasutada projektikohase toote ja materjaliga samaväärset toodet või materjali. </w:t>
      </w:r>
      <w:r>
        <w:rPr>
          <w:u w:val="single"/>
        </w:rPr>
        <w:t xml:space="preserve">Samaväärne materjal, seade, inventar jms on </w:t>
      </w:r>
      <w:r w:rsidR="00371169">
        <w:rPr>
          <w:u w:val="single"/>
        </w:rPr>
        <w:t xml:space="preserve">tehnilises </w:t>
      </w:r>
      <w:r>
        <w:rPr>
          <w:u w:val="single"/>
        </w:rPr>
        <w:t>projektis tooduga samaväärne või sellest parem tehniliste parameetrite, kvaliteedi, väljanägemise, kasutus- ja hooldusmugavuse jms poolest.</w:t>
      </w:r>
      <w:r>
        <w:t xml:space="preserve"> </w:t>
      </w:r>
    </w:p>
    <w:p w14:paraId="3B989300" w14:textId="77777777" w:rsidR="009B5337" w:rsidRDefault="009B5337" w:rsidP="00357320">
      <w:pPr>
        <w:jc w:val="both"/>
        <w:rPr>
          <w:b/>
        </w:rPr>
      </w:pPr>
    </w:p>
    <w:p w14:paraId="674C2AF5" w14:textId="77777777" w:rsidR="009B5337" w:rsidRDefault="00352209" w:rsidP="00357320">
      <w:pPr>
        <w:jc w:val="both"/>
        <w:rPr>
          <w:b/>
        </w:rPr>
      </w:pPr>
      <w:r>
        <w:rPr>
          <w:b/>
        </w:rPr>
        <w:t>7</w:t>
      </w:r>
      <w:r w:rsidR="009B5337">
        <w:rPr>
          <w:b/>
        </w:rPr>
        <w:t>. Liikluskorraldus</w:t>
      </w:r>
    </w:p>
    <w:p w14:paraId="7018EF8A" w14:textId="77777777" w:rsidR="009B5337" w:rsidRPr="00C24E30" w:rsidRDefault="009B5337" w:rsidP="00357320">
      <w:pPr>
        <w:numPr>
          <w:ilvl w:val="0"/>
          <w:numId w:val="14"/>
        </w:numPr>
        <w:ind w:left="714" w:hanging="357"/>
        <w:jc w:val="both"/>
      </w:pPr>
      <w:r w:rsidRPr="00C24E30">
        <w:t xml:space="preserve">Töövõtja kooskõlastab </w:t>
      </w:r>
      <w:r w:rsidR="001E0A80" w:rsidRPr="00C24E30">
        <w:t>t</w:t>
      </w:r>
      <w:r w:rsidRPr="00C24E30">
        <w:t>ellijaga</w:t>
      </w:r>
      <w:r w:rsidR="00C24E30">
        <w:t xml:space="preserve"> ajutise</w:t>
      </w:r>
      <w:r w:rsidRPr="00C24E30">
        <w:t xml:space="preserve"> liikluskorralduse skeemi vähemalt 4 tööpäeva enne </w:t>
      </w:r>
      <w:r w:rsidR="001E0A80" w:rsidRPr="00C24E30">
        <w:t>t</w:t>
      </w:r>
      <w:r w:rsidRPr="00C24E30">
        <w:t>öö alustamist.</w:t>
      </w:r>
    </w:p>
    <w:p w14:paraId="07AA689D" w14:textId="77777777" w:rsidR="009B5337" w:rsidRPr="00C24E30" w:rsidRDefault="009B5337" w:rsidP="00357320">
      <w:pPr>
        <w:numPr>
          <w:ilvl w:val="0"/>
          <w:numId w:val="14"/>
        </w:numPr>
        <w:ind w:left="714" w:hanging="357"/>
        <w:jc w:val="both"/>
      </w:pPr>
      <w:r w:rsidRPr="00C24E30">
        <w:t>Töövõtja korraldab liikluse vastavalt</w:t>
      </w:r>
      <w:r w:rsidR="00C24E30">
        <w:t xml:space="preserve"> ajutise</w:t>
      </w:r>
      <w:r w:rsidRPr="00C24E30">
        <w:t xml:space="preserve"> liikluskorralduse skeemile </w:t>
      </w:r>
      <w:r w:rsidR="001E0A80" w:rsidRPr="00C24E30">
        <w:t>t</w:t>
      </w:r>
      <w:r w:rsidRPr="00C24E30">
        <w:t>ööde alustamisest kuni lõpetamiseni.</w:t>
      </w:r>
    </w:p>
    <w:p w14:paraId="2F7BFCAB" w14:textId="77777777" w:rsidR="009B5337" w:rsidRPr="00C24E30" w:rsidRDefault="009B5337" w:rsidP="00357320">
      <w:pPr>
        <w:numPr>
          <w:ilvl w:val="0"/>
          <w:numId w:val="14"/>
        </w:numPr>
        <w:ind w:left="714" w:hanging="357"/>
        <w:jc w:val="both"/>
      </w:pPr>
      <w:r w:rsidRPr="00C24E30">
        <w:t>Töövõtj</w:t>
      </w:r>
      <w:r w:rsidR="000E3BFC" w:rsidRPr="00C24E30">
        <w:t xml:space="preserve">a vastutab liiklusohutuse eest </w:t>
      </w:r>
      <w:r w:rsidR="001E0A80" w:rsidRPr="00C24E30">
        <w:t>t</w:t>
      </w:r>
      <w:r w:rsidRPr="00C24E30">
        <w:t>öö alustamisest kuni lõpetamiseni so endise liikluskorralduse taastamiseni.</w:t>
      </w:r>
    </w:p>
    <w:p w14:paraId="4298F759" w14:textId="77777777" w:rsidR="009B5337" w:rsidRPr="00C24E30" w:rsidRDefault="009B5337" w:rsidP="00357320">
      <w:pPr>
        <w:numPr>
          <w:ilvl w:val="0"/>
          <w:numId w:val="14"/>
        </w:numPr>
        <w:ind w:left="714" w:hanging="357"/>
        <w:jc w:val="both"/>
      </w:pPr>
      <w:r w:rsidRPr="00C24E30">
        <w:t xml:space="preserve">Tellija annab </w:t>
      </w:r>
      <w:r w:rsidR="001E0A80" w:rsidRPr="00C24E30">
        <w:t>t</w:t>
      </w:r>
      <w:r w:rsidRPr="00C24E30">
        <w:t xml:space="preserve">öövõtjale informatsiooni võimalikest </w:t>
      </w:r>
      <w:r w:rsidR="001E0A80" w:rsidRPr="00C24E30">
        <w:t>t</w:t>
      </w:r>
      <w:r w:rsidRPr="00C24E30">
        <w:t xml:space="preserve">ellijapoolsetest liikluskorralduse muutustest, mis mõjutavad </w:t>
      </w:r>
      <w:r w:rsidR="001E0A80" w:rsidRPr="00C24E30">
        <w:t>t</w:t>
      </w:r>
      <w:r w:rsidRPr="00C24E30">
        <w:t>öö tegemist.</w:t>
      </w:r>
    </w:p>
    <w:p w14:paraId="0155F943" w14:textId="4F952A6C" w:rsidR="009B5337" w:rsidRPr="00C24E30" w:rsidRDefault="009B5337" w:rsidP="00357320">
      <w:pPr>
        <w:numPr>
          <w:ilvl w:val="0"/>
          <w:numId w:val="14"/>
        </w:numPr>
        <w:ind w:left="714" w:hanging="357"/>
        <w:jc w:val="both"/>
      </w:pPr>
      <w:r w:rsidRPr="00C24E30">
        <w:t xml:space="preserve">Töövõtja peab tagama ehituse ajal kõigile kinnistutele juurdepääsu nii </w:t>
      </w:r>
      <w:r w:rsidRPr="00C24E30">
        <w:rPr>
          <w:bCs/>
        </w:rPr>
        <w:t xml:space="preserve">sõidukitega kui ka jalgsi. Kui mingil ajavahemikus tööde iseloomust tulenevalt on kinnistutele juurdepääsuks takistusi või piiranguid, sõlmib kõik sellekohased kokkulepped kinnistute omanike/valdajatega ning operatiivteenistustega </w:t>
      </w:r>
      <w:r w:rsidR="001E0A80" w:rsidRPr="00C24E30">
        <w:rPr>
          <w:bCs/>
        </w:rPr>
        <w:t>t</w:t>
      </w:r>
      <w:r w:rsidRPr="00C24E30">
        <w:rPr>
          <w:bCs/>
        </w:rPr>
        <w:t>öövõtja ja teavitab kõiki osapooli (sh Tellijat) mõistliku etteütlemis</w:t>
      </w:r>
      <w:r w:rsidR="00E51DB1">
        <w:rPr>
          <w:bCs/>
        </w:rPr>
        <w:t>e</w:t>
      </w:r>
      <w:r w:rsidRPr="00C24E30">
        <w:rPr>
          <w:bCs/>
        </w:rPr>
        <w:t xml:space="preserve">ajaga. Samuti korraldab </w:t>
      </w:r>
      <w:r w:rsidR="001E0A80" w:rsidRPr="00C24E30">
        <w:rPr>
          <w:bCs/>
        </w:rPr>
        <w:t>t</w:t>
      </w:r>
      <w:r w:rsidRPr="00C24E30">
        <w:rPr>
          <w:bCs/>
        </w:rPr>
        <w:t>öövõtja omal kulul kõigi ajutiste liikluskorraldusvahendite hankimise ja paigaldamise.</w:t>
      </w:r>
    </w:p>
    <w:p w14:paraId="446DF734" w14:textId="77777777" w:rsidR="009B5337" w:rsidRPr="00C24E30" w:rsidRDefault="009B5337" w:rsidP="00357320">
      <w:pPr>
        <w:jc w:val="both"/>
        <w:rPr>
          <w:b/>
        </w:rPr>
      </w:pPr>
    </w:p>
    <w:p w14:paraId="334F3A47" w14:textId="58C52B11" w:rsidR="009B5337" w:rsidRDefault="00E51DB1" w:rsidP="00357320">
      <w:pPr>
        <w:jc w:val="both"/>
      </w:pPr>
      <w:r>
        <w:rPr>
          <w:b/>
        </w:rPr>
        <w:t>8</w:t>
      </w:r>
      <w:r w:rsidR="009B5337">
        <w:rPr>
          <w:b/>
        </w:rPr>
        <w:t>. Ehitus</w:t>
      </w:r>
      <w:r w:rsidR="001C269D">
        <w:rPr>
          <w:b/>
        </w:rPr>
        <w:t>aegsed</w:t>
      </w:r>
      <w:r w:rsidR="009B5337">
        <w:rPr>
          <w:b/>
        </w:rPr>
        <w:t xml:space="preserve"> töökoosolekud</w:t>
      </w:r>
    </w:p>
    <w:p w14:paraId="017B7A6C" w14:textId="77777777" w:rsidR="009B5337" w:rsidRDefault="009B5337" w:rsidP="00357320">
      <w:pPr>
        <w:numPr>
          <w:ilvl w:val="0"/>
          <w:numId w:val="11"/>
        </w:numPr>
        <w:jc w:val="both"/>
      </w:pPr>
      <w:r>
        <w:t>Koosolekute aja ja koha ning toimumise korra ja sageduse lepivad pooled kokku ühe nädala jooksul peale hankelepingu allakirjutamist.</w:t>
      </w:r>
    </w:p>
    <w:p w14:paraId="79143425" w14:textId="77777777" w:rsidR="009B5337" w:rsidRDefault="009B5337" w:rsidP="00357320">
      <w:pPr>
        <w:numPr>
          <w:ilvl w:val="0"/>
          <w:numId w:val="10"/>
        </w:numPr>
        <w:jc w:val="both"/>
      </w:pPr>
      <w:r>
        <w:lastRenderedPageBreak/>
        <w:t>Ehitus</w:t>
      </w:r>
      <w:r w:rsidR="001C269D">
        <w:t>aegsete</w:t>
      </w:r>
      <w:r>
        <w:t xml:space="preserve"> koosolekute protokollid edastatakse 2 tööpäeva jooksul kõigile osalejatele. Pooled on kohustatud oma tööde teostamisel kinni pidama koosolekutel protokollitud otsustest. </w:t>
      </w:r>
    </w:p>
    <w:p w14:paraId="17216CC3" w14:textId="77777777" w:rsidR="009B5337" w:rsidRDefault="009B5337" w:rsidP="00357320">
      <w:pPr>
        <w:numPr>
          <w:ilvl w:val="0"/>
          <w:numId w:val="10"/>
        </w:numPr>
        <w:jc w:val="both"/>
      </w:pPr>
      <w:r>
        <w:t>Erakorralised koosolekud toimuvad ühe poole nõudmisel mitte hiljem kui 2 (kahe) tööpäeva jooksul alates sellekohase kirjaliku teate esitamisest teisele poolele.</w:t>
      </w:r>
    </w:p>
    <w:p w14:paraId="78563F17" w14:textId="77777777" w:rsidR="009B5337" w:rsidRDefault="009B5337" w:rsidP="00357320">
      <w:pPr>
        <w:pStyle w:val="Pealkiri4"/>
        <w:rPr>
          <w:bCs w:val="0"/>
          <w:sz w:val="24"/>
          <w:szCs w:val="24"/>
        </w:rPr>
      </w:pPr>
    </w:p>
    <w:p w14:paraId="1FBF55C9" w14:textId="62651E60" w:rsidR="009B5337" w:rsidRDefault="00E51DB1" w:rsidP="00357320">
      <w:pPr>
        <w:pStyle w:val="Pealkiri4"/>
        <w:rPr>
          <w:bCs w:val="0"/>
          <w:sz w:val="24"/>
          <w:szCs w:val="24"/>
        </w:rPr>
      </w:pPr>
      <w:r>
        <w:rPr>
          <w:bCs w:val="0"/>
          <w:sz w:val="24"/>
          <w:szCs w:val="24"/>
        </w:rPr>
        <w:t>9</w:t>
      </w:r>
      <w:r w:rsidR="009B5337">
        <w:rPr>
          <w:bCs w:val="0"/>
          <w:sz w:val="24"/>
          <w:szCs w:val="24"/>
        </w:rPr>
        <w:t>. Teostusjoonised, täitedokumentatsioon</w:t>
      </w:r>
    </w:p>
    <w:p w14:paraId="0A4AC063" w14:textId="45CD2FA9" w:rsidR="009B5337" w:rsidRDefault="009B5337" w:rsidP="00357320">
      <w:pPr>
        <w:pStyle w:val="Lisatekst"/>
        <w:numPr>
          <w:ilvl w:val="0"/>
          <w:numId w:val="0"/>
        </w:numPr>
        <w:tabs>
          <w:tab w:val="clear" w:pos="6521"/>
          <w:tab w:val="left" w:pos="7938"/>
        </w:tabs>
        <w:spacing w:before="0"/>
        <w:rPr>
          <w:noProof w:val="0"/>
        </w:rPr>
      </w:pPr>
      <w:r>
        <w:rPr>
          <w:noProof w:val="0"/>
        </w:rPr>
        <w:t>Täitedokumentatsioon</w:t>
      </w:r>
      <w:r w:rsidR="00434A52">
        <w:rPr>
          <w:noProof w:val="0"/>
        </w:rPr>
        <w:t xml:space="preserve">, </w:t>
      </w:r>
      <w:r w:rsidR="00434A52" w:rsidRPr="005D57C3">
        <w:rPr>
          <w:noProof w:val="0"/>
        </w:rPr>
        <w:t>kontrollmõõdistused</w:t>
      </w:r>
      <w:r>
        <w:rPr>
          <w:noProof w:val="0"/>
        </w:rPr>
        <w:t xml:space="preserve"> ning teostusjoonised esitatakse </w:t>
      </w:r>
      <w:r w:rsidR="00DE0F8C">
        <w:rPr>
          <w:noProof w:val="0"/>
        </w:rPr>
        <w:t>t</w:t>
      </w:r>
      <w:r>
        <w:rPr>
          <w:noProof w:val="0"/>
        </w:rPr>
        <w:t xml:space="preserve">ellijale </w:t>
      </w:r>
      <w:r w:rsidR="00E51DB1">
        <w:rPr>
          <w:noProof w:val="0"/>
        </w:rPr>
        <w:t>üh</w:t>
      </w:r>
      <w:r>
        <w:rPr>
          <w:noProof w:val="0"/>
        </w:rPr>
        <w:t xml:space="preserve">es eksemplaris digitaalselt </w:t>
      </w:r>
      <w:r w:rsidR="001C269D">
        <w:rPr>
          <w:noProof w:val="0"/>
        </w:rPr>
        <w:t>mälupulgal</w:t>
      </w:r>
      <w:r>
        <w:rPr>
          <w:noProof w:val="0"/>
        </w:rPr>
        <w:t>.</w:t>
      </w:r>
    </w:p>
    <w:p w14:paraId="70C34A90" w14:textId="77777777" w:rsidR="009B5337" w:rsidRDefault="009B5337" w:rsidP="00357320">
      <w:pPr>
        <w:jc w:val="both"/>
      </w:pPr>
    </w:p>
    <w:sectPr w:rsidR="009B5337" w:rsidSect="00F775D6">
      <w:pgSz w:w="11906" w:h="16838"/>
      <w:pgMar w:top="851" w:right="1080" w:bottom="709" w:left="10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3"/>
      <w:numFmt w:val="bullet"/>
      <w:lvlText w:val="-"/>
      <w:lvlJc w:val="left"/>
      <w:pPr>
        <w:tabs>
          <w:tab w:val="num" w:pos="934"/>
        </w:tabs>
        <w:ind w:left="934" w:hanging="360"/>
      </w:pPr>
      <w:rPr>
        <w:rFonts w:ascii="Times New Roman" w:hAnsi="Times New Roman"/>
        <w:b/>
      </w:rPr>
    </w:lvl>
  </w:abstractNum>
  <w:abstractNum w:abstractNumId="1" w15:restartNumberingAfterBreak="0">
    <w:nsid w:val="01427F76"/>
    <w:multiLevelType w:val="hybridMultilevel"/>
    <w:tmpl w:val="33DCE1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1BD5C35"/>
    <w:multiLevelType w:val="hybridMultilevel"/>
    <w:tmpl w:val="521464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3A3314B"/>
    <w:multiLevelType w:val="hybridMultilevel"/>
    <w:tmpl w:val="9C4823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729586C"/>
    <w:multiLevelType w:val="hybridMultilevel"/>
    <w:tmpl w:val="BF06FB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5B5BEB"/>
    <w:multiLevelType w:val="hybridMultilevel"/>
    <w:tmpl w:val="22241EEA"/>
    <w:lvl w:ilvl="0" w:tplc="0425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A6B54"/>
    <w:multiLevelType w:val="hybridMultilevel"/>
    <w:tmpl w:val="791457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FED399C"/>
    <w:multiLevelType w:val="hybridMultilevel"/>
    <w:tmpl w:val="9EB2BA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2644D01"/>
    <w:multiLevelType w:val="hybridMultilevel"/>
    <w:tmpl w:val="E48A2FD8"/>
    <w:lvl w:ilvl="0" w:tplc="0425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4720817"/>
    <w:multiLevelType w:val="hybridMultilevel"/>
    <w:tmpl w:val="4FEA1F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7776E68"/>
    <w:multiLevelType w:val="hybridMultilevel"/>
    <w:tmpl w:val="045447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89D68DA"/>
    <w:multiLevelType w:val="multilevel"/>
    <w:tmpl w:val="98D0F418"/>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C1F167E"/>
    <w:multiLevelType w:val="hybridMultilevel"/>
    <w:tmpl w:val="064A93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F7073C3"/>
    <w:multiLevelType w:val="hybridMultilevel"/>
    <w:tmpl w:val="922AC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rPr>
    </w:lvl>
    <w:lvl w:ilvl="1">
      <w:start w:val="1"/>
      <w:numFmt w:val="decimal"/>
      <w:pStyle w:val="Bodyt"/>
      <w:suff w:val="space"/>
      <w:lvlText w:val="%1.%2"/>
      <w:lvlJc w:val="left"/>
      <w:rPr>
        <w:rFonts w:ascii="Times New Roman" w:hAnsi="Times New Roman" w:cs="Times New Roman" w:hint="default"/>
      </w:rPr>
    </w:lvl>
    <w:lvl w:ilvl="2">
      <w:start w:val="1"/>
      <w:numFmt w:val="decimal"/>
      <w:suff w:val="space"/>
      <w:lvlText w:val="%1.%2.%3"/>
      <w:lvlJc w:val="left"/>
      <w:rPr>
        <w:rFonts w:ascii="Times New Roman" w:hAnsi="Times New Roman" w:cs="Times New Roman" w:hint="default"/>
      </w:rPr>
    </w:lvl>
    <w:lvl w:ilvl="3">
      <w:start w:val="1"/>
      <w:numFmt w:val="decimal"/>
      <w:suff w:val="space"/>
      <w:lvlText w:val="%1.%2.%3.%4"/>
      <w:lvlJc w:val="left"/>
      <w:rPr>
        <w:rFonts w:ascii="Times New Roman" w:hAnsi="Times New Roman" w:cs="Times New Roman" w:hint="default"/>
      </w:rPr>
    </w:lvl>
    <w:lvl w:ilvl="4">
      <w:start w:val="1"/>
      <w:numFmt w:val="decimal"/>
      <w:suff w:val="space"/>
      <w:lvlText w:val="%1.%2.%3.%4.%5"/>
      <w:lvlJc w:val="left"/>
      <w:rPr>
        <w:rFonts w:ascii="Times New Roman" w:hAnsi="Times New Roman" w:cs="Times New Roman" w:hint="default"/>
      </w:rPr>
    </w:lvl>
    <w:lvl w:ilvl="5">
      <w:start w:val="1"/>
      <w:numFmt w:val="decimal"/>
      <w:suff w:val="space"/>
      <w:lvlText w:val="%1.%2.%3.%4.%5.%6"/>
      <w:lvlJc w:val="left"/>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419C370B"/>
    <w:multiLevelType w:val="hybridMultilevel"/>
    <w:tmpl w:val="C2B4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C6BAF"/>
    <w:multiLevelType w:val="hybridMultilevel"/>
    <w:tmpl w:val="CC94C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99224C2"/>
    <w:multiLevelType w:val="hybridMultilevel"/>
    <w:tmpl w:val="DE202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E026D51"/>
    <w:multiLevelType w:val="hybridMultilevel"/>
    <w:tmpl w:val="83E8E76A"/>
    <w:lvl w:ilvl="0" w:tplc="04250001">
      <w:start w:val="1"/>
      <w:numFmt w:val="bullet"/>
      <w:lvlText w:val=""/>
      <w:lvlJc w:val="left"/>
      <w:pPr>
        <w:ind w:left="720" w:hanging="360"/>
      </w:pPr>
      <w:rPr>
        <w:rFonts w:ascii="Symbol" w:hAnsi="Symbol" w:hint="default"/>
      </w:rPr>
    </w:lvl>
    <w:lvl w:ilvl="1" w:tplc="5A98E884">
      <w:numFmt w:val="bullet"/>
      <w:lvlText w:val="-"/>
      <w:lvlJc w:val="left"/>
      <w:pPr>
        <w:ind w:left="1440" w:hanging="36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ECA650B"/>
    <w:multiLevelType w:val="hybridMultilevel"/>
    <w:tmpl w:val="20CA2D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1736F49"/>
    <w:multiLevelType w:val="hybridMultilevel"/>
    <w:tmpl w:val="78A8646C"/>
    <w:lvl w:ilvl="0" w:tplc="042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44021"/>
    <w:multiLevelType w:val="hybridMultilevel"/>
    <w:tmpl w:val="C34E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D4B90"/>
    <w:multiLevelType w:val="hybridMultilevel"/>
    <w:tmpl w:val="3AA078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B7B54B4"/>
    <w:multiLevelType w:val="hybridMultilevel"/>
    <w:tmpl w:val="19ECE2D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92B61"/>
    <w:multiLevelType w:val="hybridMultilevel"/>
    <w:tmpl w:val="2FBE0276"/>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5" w15:restartNumberingAfterBreak="0">
    <w:nsid w:val="6E1C7030"/>
    <w:multiLevelType w:val="hybridMultilevel"/>
    <w:tmpl w:val="DC38E91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5DE1780"/>
    <w:multiLevelType w:val="hybridMultilevel"/>
    <w:tmpl w:val="8B6A0B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AC93EFE"/>
    <w:multiLevelType w:val="hybridMultilevel"/>
    <w:tmpl w:val="A6CED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B7B70A6"/>
    <w:multiLevelType w:val="hybridMultilevel"/>
    <w:tmpl w:val="A7563012"/>
    <w:lvl w:ilvl="0" w:tplc="7E04BDA4">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7"/>
  </w:num>
  <w:num w:numId="6">
    <w:abstractNumId w:val="3"/>
  </w:num>
  <w:num w:numId="7">
    <w:abstractNumId w:val="18"/>
  </w:num>
  <w:num w:numId="8">
    <w:abstractNumId w:val="8"/>
  </w:num>
  <w:num w:numId="9">
    <w:abstractNumId w:val="6"/>
  </w:num>
  <w:num w:numId="10">
    <w:abstractNumId w:val="17"/>
  </w:num>
  <w:num w:numId="11">
    <w:abstractNumId w:val="27"/>
  </w:num>
  <w:num w:numId="12">
    <w:abstractNumId w:val="25"/>
  </w:num>
  <w:num w:numId="13">
    <w:abstractNumId w:val="26"/>
  </w:num>
  <w:num w:numId="14">
    <w:abstractNumId w:val="23"/>
  </w:num>
  <w:num w:numId="15">
    <w:abstractNumId w:val="12"/>
  </w:num>
  <w:num w:numId="16">
    <w:abstractNumId w:val="13"/>
  </w:num>
  <w:num w:numId="17">
    <w:abstractNumId w:val="19"/>
  </w:num>
  <w:num w:numId="18">
    <w:abstractNumId w:val="16"/>
  </w:num>
  <w:num w:numId="19">
    <w:abstractNumId w:val="28"/>
  </w:num>
  <w:num w:numId="20">
    <w:abstractNumId w:val="24"/>
  </w:num>
  <w:num w:numId="21">
    <w:abstractNumId w:val="4"/>
  </w:num>
  <w:num w:numId="22">
    <w:abstractNumId w:val="11"/>
  </w:num>
  <w:num w:numId="23">
    <w:abstractNumId w:val="1"/>
  </w:num>
  <w:num w:numId="24">
    <w:abstractNumId w:val="2"/>
  </w:num>
  <w:num w:numId="25">
    <w:abstractNumId w:val="10"/>
  </w:num>
  <w:num w:numId="26">
    <w:abstractNumId w:val="21"/>
  </w:num>
  <w:num w:numId="27">
    <w:abstractNumId w:val="15"/>
  </w:num>
  <w:num w:numId="28">
    <w:abstractNumId w:val="10"/>
  </w:num>
  <w:num w:numId="29">
    <w:abstractNumId w:val="0"/>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37"/>
    <w:rsid w:val="0001088D"/>
    <w:rsid w:val="000162AE"/>
    <w:rsid w:val="00027F26"/>
    <w:rsid w:val="000402C4"/>
    <w:rsid w:val="00043111"/>
    <w:rsid w:val="000479C3"/>
    <w:rsid w:val="00074E44"/>
    <w:rsid w:val="00080FDB"/>
    <w:rsid w:val="00084109"/>
    <w:rsid w:val="000C1E48"/>
    <w:rsid w:val="000C25F2"/>
    <w:rsid w:val="000D6ED2"/>
    <w:rsid w:val="000E3BFC"/>
    <w:rsid w:val="000E4392"/>
    <w:rsid w:val="001059A9"/>
    <w:rsid w:val="00124558"/>
    <w:rsid w:val="001303DC"/>
    <w:rsid w:val="00130D6B"/>
    <w:rsid w:val="001326FB"/>
    <w:rsid w:val="00150EA0"/>
    <w:rsid w:val="001C269D"/>
    <w:rsid w:val="001D2967"/>
    <w:rsid w:val="001E0A80"/>
    <w:rsid w:val="001F15F8"/>
    <w:rsid w:val="001F6E92"/>
    <w:rsid w:val="00211C88"/>
    <w:rsid w:val="002225C8"/>
    <w:rsid w:val="00223FCF"/>
    <w:rsid w:val="00230794"/>
    <w:rsid w:val="00255621"/>
    <w:rsid w:val="002729B8"/>
    <w:rsid w:val="00290E4D"/>
    <w:rsid w:val="002A1B60"/>
    <w:rsid w:val="002B2960"/>
    <w:rsid w:val="002C2852"/>
    <w:rsid w:val="002C2D2C"/>
    <w:rsid w:val="002D4A1D"/>
    <w:rsid w:val="002F4109"/>
    <w:rsid w:val="002F485A"/>
    <w:rsid w:val="0030764A"/>
    <w:rsid w:val="0031303E"/>
    <w:rsid w:val="00321F89"/>
    <w:rsid w:val="003263C7"/>
    <w:rsid w:val="00333E17"/>
    <w:rsid w:val="00334109"/>
    <w:rsid w:val="00352209"/>
    <w:rsid w:val="00354B9C"/>
    <w:rsid w:val="00357320"/>
    <w:rsid w:val="00366DE5"/>
    <w:rsid w:val="00370663"/>
    <w:rsid w:val="00371169"/>
    <w:rsid w:val="00373BAE"/>
    <w:rsid w:val="0037423B"/>
    <w:rsid w:val="003872CB"/>
    <w:rsid w:val="003A3DE7"/>
    <w:rsid w:val="003B1CCF"/>
    <w:rsid w:val="003D04A3"/>
    <w:rsid w:val="003E6086"/>
    <w:rsid w:val="0040222D"/>
    <w:rsid w:val="00405EA0"/>
    <w:rsid w:val="00434A52"/>
    <w:rsid w:val="00436ED3"/>
    <w:rsid w:val="00463A14"/>
    <w:rsid w:val="0046621E"/>
    <w:rsid w:val="004700A8"/>
    <w:rsid w:val="00474298"/>
    <w:rsid w:val="004B7094"/>
    <w:rsid w:val="004C25D3"/>
    <w:rsid w:val="004C7636"/>
    <w:rsid w:val="004D2F17"/>
    <w:rsid w:val="004F39AD"/>
    <w:rsid w:val="00506BC9"/>
    <w:rsid w:val="00534D78"/>
    <w:rsid w:val="005610C2"/>
    <w:rsid w:val="0058732D"/>
    <w:rsid w:val="005965DC"/>
    <w:rsid w:val="005B3960"/>
    <w:rsid w:val="005C2E59"/>
    <w:rsid w:val="005D57C3"/>
    <w:rsid w:val="005E601F"/>
    <w:rsid w:val="00604ACD"/>
    <w:rsid w:val="0060593D"/>
    <w:rsid w:val="00606C81"/>
    <w:rsid w:val="0062542C"/>
    <w:rsid w:val="00625F2E"/>
    <w:rsid w:val="00640CBC"/>
    <w:rsid w:val="0064673B"/>
    <w:rsid w:val="00646F50"/>
    <w:rsid w:val="00661864"/>
    <w:rsid w:val="00671075"/>
    <w:rsid w:val="00680B13"/>
    <w:rsid w:val="006910CB"/>
    <w:rsid w:val="006B6E4A"/>
    <w:rsid w:val="006C17F9"/>
    <w:rsid w:val="006C546B"/>
    <w:rsid w:val="006C7A8E"/>
    <w:rsid w:val="006D01B3"/>
    <w:rsid w:val="006E3CD0"/>
    <w:rsid w:val="006F1E1F"/>
    <w:rsid w:val="006F590A"/>
    <w:rsid w:val="007067C4"/>
    <w:rsid w:val="00713D29"/>
    <w:rsid w:val="0072138F"/>
    <w:rsid w:val="0072604B"/>
    <w:rsid w:val="007319BD"/>
    <w:rsid w:val="00743C6C"/>
    <w:rsid w:val="00745B44"/>
    <w:rsid w:val="00795952"/>
    <w:rsid w:val="007B186D"/>
    <w:rsid w:val="007B19C9"/>
    <w:rsid w:val="007E32FD"/>
    <w:rsid w:val="00816629"/>
    <w:rsid w:val="00837AE1"/>
    <w:rsid w:val="008461BF"/>
    <w:rsid w:val="00892AAE"/>
    <w:rsid w:val="008A183C"/>
    <w:rsid w:val="008A1D0D"/>
    <w:rsid w:val="008B64F6"/>
    <w:rsid w:val="008C02F5"/>
    <w:rsid w:val="008D46FD"/>
    <w:rsid w:val="008E1184"/>
    <w:rsid w:val="008E7F90"/>
    <w:rsid w:val="00906182"/>
    <w:rsid w:val="00920404"/>
    <w:rsid w:val="009250C5"/>
    <w:rsid w:val="0094052F"/>
    <w:rsid w:val="00950702"/>
    <w:rsid w:val="00951BD4"/>
    <w:rsid w:val="00954B4A"/>
    <w:rsid w:val="00974A98"/>
    <w:rsid w:val="00991480"/>
    <w:rsid w:val="00991FD9"/>
    <w:rsid w:val="009B1649"/>
    <w:rsid w:val="009B1FD5"/>
    <w:rsid w:val="009B5337"/>
    <w:rsid w:val="009C51CE"/>
    <w:rsid w:val="009F0710"/>
    <w:rsid w:val="00A25BC5"/>
    <w:rsid w:val="00A45BE9"/>
    <w:rsid w:val="00A53A04"/>
    <w:rsid w:val="00A62D74"/>
    <w:rsid w:val="00A71475"/>
    <w:rsid w:val="00A752A7"/>
    <w:rsid w:val="00A911E4"/>
    <w:rsid w:val="00A94B1F"/>
    <w:rsid w:val="00AA6BAB"/>
    <w:rsid w:val="00AB1408"/>
    <w:rsid w:val="00AC083A"/>
    <w:rsid w:val="00B022D3"/>
    <w:rsid w:val="00B114A7"/>
    <w:rsid w:val="00B114E1"/>
    <w:rsid w:val="00B1169A"/>
    <w:rsid w:val="00B543B7"/>
    <w:rsid w:val="00B61A86"/>
    <w:rsid w:val="00BD3286"/>
    <w:rsid w:val="00BD7373"/>
    <w:rsid w:val="00BD7E60"/>
    <w:rsid w:val="00BF3B41"/>
    <w:rsid w:val="00C162A2"/>
    <w:rsid w:val="00C24E30"/>
    <w:rsid w:val="00C32455"/>
    <w:rsid w:val="00C4307D"/>
    <w:rsid w:val="00C45897"/>
    <w:rsid w:val="00C52CC3"/>
    <w:rsid w:val="00C64963"/>
    <w:rsid w:val="00C674BF"/>
    <w:rsid w:val="00C759C8"/>
    <w:rsid w:val="00C937F5"/>
    <w:rsid w:val="00CB5E20"/>
    <w:rsid w:val="00CC23A4"/>
    <w:rsid w:val="00CD3826"/>
    <w:rsid w:val="00CD6D74"/>
    <w:rsid w:val="00CE0C23"/>
    <w:rsid w:val="00CE7781"/>
    <w:rsid w:val="00CF5152"/>
    <w:rsid w:val="00CF5D6B"/>
    <w:rsid w:val="00D062A4"/>
    <w:rsid w:val="00D1105E"/>
    <w:rsid w:val="00D46049"/>
    <w:rsid w:val="00D53887"/>
    <w:rsid w:val="00D544B8"/>
    <w:rsid w:val="00D62E0D"/>
    <w:rsid w:val="00D67848"/>
    <w:rsid w:val="00D948D9"/>
    <w:rsid w:val="00DA13AA"/>
    <w:rsid w:val="00DA7B77"/>
    <w:rsid w:val="00DB43C0"/>
    <w:rsid w:val="00DC7B56"/>
    <w:rsid w:val="00DE0F8C"/>
    <w:rsid w:val="00E1657C"/>
    <w:rsid w:val="00E44A8F"/>
    <w:rsid w:val="00E46A99"/>
    <w:rsid w:val="00E5017A"/>
    <w:rsid w:val="00E51DB1"/>
    <w:rsid w:val="00E5542A"/>
    <w:rsid w:val="00E64E53"/>
    <w:rsid w:val="00E74319"/>
    <w:rsid w:val="00E90C29"/>
    <w:rsid w:val="00EA2FA1"/>
    <w:rsid w:val="00EB52B4"/>
    <w:rsid w:val="00EF3E81"/>
    <w:rsid w:val="00EF556F"/>
    <w:rsid w:val="00EF6080"/>
    <w:rsid w:val="00F04718"/>
    <w:rsid w:val="00F11881"/>
    <w:rsid w:val="00F11E9D"/>
    <w:rsid w:val="00F20BD5"/>
    <w:rsid w:val="00F30858"/>
    <w:rsid w:val="00F47AA5"/>
    <w:rsid w:val="00F5646B"/>
    <w:rsid w:val="00F56FEC"/>
    <w:rsid w:val="00F60912"/>
    <w:rsid w:val="00F775D6"/>
    <w:rsid w:val="00FA1D4E"/>
    <w:rsid w:val="00FA2930"/>
    <w:rsid w:val="00FB28DA"/>
    <w:rsid w:val="00FB68F3"/>
    <w:rsid w:val="00FC11AF"/>
    <w:rsid w:val="00FC59DB"/>
    <w:rsid w:val="00FC77F4"/>
    <w:rsid w:val="00FD0022"/>
    <w:rsid w:val="00FD03FE"/>
    <w:rsid w:val="00FE34F0"/>
    <w:rsid w:val="00FE60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416D"/>
  <w15:chartTrackingRefBased/>
  <w15:docId w15:val="{16BD8954-4058-46ED-B735-3620F1DB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80B13"/>
    <w:rPr>
      <w:rFonts w:ascii="Times New Roman" w:eastAsia="Times New Roman" w:hAnsi="Times New Roman"/>
      <w:sz w:val="24"/>
      <w:szCs w:val="24"/>
      <w:lang w:eastAsia="en-US"/>
    </w:rPr>
  </w:style>
  <w:style w:type="paragraph" w:styleId="Pealkiri1">
    <w:name w:val="heading 1"/>
    <w:basedOn w:val="Normaallaad"/>
    <w:next w:val="Normaallaad"/>
    <w:link w:val="Pealkiri1Mrk"/>
    <w:qFormat/>
    <w:rsid w:val="009B5337"/>
    <w:pPr>
      <w:keepNext/>
      <w:autoSpaceDE w:val="0"/>
      <w:autoSpaceDN w:val="0"/>
      <w:outlineLvl w:val="0"/>
    </w:pPr>
    <w:rPr>
      <w:noProof/>
      <w:lang w:eastAsia="et-EE"/>
    </w:rPr>
  </w:style>
  <w:style w:type="paragraph" w:styleId="Pealkiri2">
    <w:name w:val="heading 2"/>
    <w:basedOn w:val="Normaallaad"/>
    <w:next w:val="Normaallaad"/>
    <w:link w:val="Pealkiri2Mrk"/>
    <w:qFormat/>
    <w:rsid w:val="009B5337"/>
    <w:pPr>
      <w:keepNext/>
      <w:autoSpaceDE w:val="0"/>
      <w:autoSpaceDN w:val="0"/>
      <w:outlineLvl w:val="1"/>
    </w:pPr>
    <w:rPr>
      <w:b/>
      <w:bCs/>
      <w:noProof/>
      <w:lang w:eastAsia="et-EE"/>
    </w:rPr>
  </w:style>
  <w:style w:type="paragraph" w:styleId="Pealkiri4">
    <w:name w:val="heading 4"/>
    <w:basedOn w:val="Normaallaad"/>
    <w:next w:val="Normaallaad"/>
    <w:link w:val="Pealkiri4Mrk"/>
    <w:qFormat/>
    <w:rsid w:val="009B5337"/>
    <w:pPr>
      <w:keepNext/>
      <w:autoSpaceDE w:val="0"/>
      <w:autoSpaceDN w:val="0"/>
      <w:jc w:val="both"/>
      <w:outlineLvl w:val="3"/>
    </w:pPr>
    <w:rPr>
      <w:b/>
      <w:bCs/>
      <w:noProof/>
      <w:sz w:val="28"/>
      <w:szCs w:val="2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B5337"/>
    <w:rPr>
      <w:rFonts w:ascii="Times New Roman" w:eastAsia="Times New Roman" w:hAnsi="Times New Roman" w:cs="Times New Roman"/>
      <w:noProof/>
      <w:sz w:val="24"/>
      <w:szCs w:val="24"/>
      <w:lang w:eastAsia="et-EE"/>
    </w:rPr>
  </w:style>
  <w:style w:type="character" w:customStyle="1" w:styleId="Pealkiri2Mrk">
    <w:name w:val="Pealkiri 2 Märk"/>
    <w:basedOn w:val="Liguvaikefont"/>
    <w:link w:val="Pealkiri2"/>
    <w:rsid w:val="009B5337"/>
    <w:rPr>
      <w:rFonts w:ascii="Times New Roman" w:eastAsia="Times New Roman" w:hAnsi="Times New Roman" w:cs="Times New Roman"/>
      <w:b/>
      <w:bCs/>
      <w:noProof/>
      <w:sz w:val="24"/>
      <w:szCs w:val="24"/>
      <w:lang w:eastAsia="et-EE"/>
    </w:rPr>
  </w:style>
  <w:style w:type="character" w:customStyle="1" w:styleId="Pealkiri4Mrk">
    <w:name w:val="Pealkiri 4 Märk"/>
    <w:basedOn w:val="Liguvaikefont"/>
    <w:link w:val="Pealkiri4"/>
    <w:rsid w:val="009B5337"/>
    <w:rPr>
      <w:rFonts w:ascii="Times New Roman" w:eastAsia="Times New Roman" w:hAnsi="Times New Roman" w:cs="Times New Roman"/>
      <w:b/>
      <w:bCs/>
      <w:noProof/>
      <w:sz w:val="28"/>
      <w:szCs w:val="28"/>
      <w:lang w:eastAsia="et-EE"/>
    </w:rPr>
  </w:style>
  <w:style w:type="paragraph" w:customStyle="1" w:styleId="Lisatekst">
    <w:name w:val="Lisatekst"/>
    <w:basedOn w:val="Kehatekst"/>
    <w:rsid w:val="009B5337"/>
    <w:pPr>
      <w:widowControl/>
      <w:numPr>
        <w:numId w:val="1"/>
      </w:numPr>
      <w:tabs>
        <w:tab w:val="left" w:pos="6521"/>
      </w:tabs>
      <w:autoSpaceDE/>
      <w:autoSpaceDN/>
      <w:spacing w:before="120"/>
      <w:jc w:val="both"/>
    </w:pPr>
    <w:rPr>
      <w:color w:val="auto"/>
      <w:lang w:eastAsia="en-US"/>
    </w:rPr>
  </w:style>
  <w:style w:type="paragraph" w:styleId="Kehatekst">
    <w:name w:val="Body Text"/>
    <w:basedOn w:val="Normaallaad"/>
    <w:link w:val="KehatekstMrk"/>
    <w:semiHidden/>
    <w:rsid w:val="009B5337"/>
    <w:pPr>
      <w:widowControl w:val="0"/>
      <w:autoSpaceDE w:val="0"/>
      <w:autoSpaceDN w:val="0"/>
    </w:pPr>
    <w:rPr>
      <w:noProof/>
      <w:color w:val="000000"/>
      <w:lang w:eastAsia="et-EE"/>
    </w:rPr>
  </w:style>
  <w:style w:type="character" w:customStyle="1" w:styleId="KehatekstMrk">
    <w:name w:val="Kehatekst Märk"/>
    <w:basedOn w:val="Liguvaikefont"/>
    <w:link w:val="Kehatekst"/>
    <w:semiHidden/>
    <w:rsid w:val="009B5337"/>
    <w:rPr>
      <w:rFonts w:ascii="Times New Roman" w:eastAsia="Times New Roman" w:hAnsi="Times New Roman" w:cs="Times New Roman"/>
      <w:noProof/>
      <w:color w:val="000000"/>
      <w:sz w:val="24"/>
      <w:szCs w:val="24"/>
      <w:lang w:eastAsia="et-EE"/>
    </w:rPr>
  </w:style>
  <w:style w:type="paragraph" w:customStyle="1" w:styleId="Bodyt">
    <w:name w:val="Bodyt"/>
    <w:basedOn w:val="Kehatekst"/>
    <w:rsid w:val="009B5337"/>
    <w:pPr>
      <w:widowControl/>
      <w:numPr>
        <w:ilvl w:val="1"/>
        <w:numId w:val="1"/>
      </w:numPr>
      <w:autoSpaceDE/>
      <w:autoSpaceDN/>
      <w:jc w:val="both"/>
    </w:pPr>
    <w:rPr>
      <w:color w:val="auto"/>
      <w:lang w:eastAsia="en-US"/>
    </w:rPr>
  </w:style>
  <w:style w:type="character" w:styleId="Hperlink">
    <w:name w:val="Hyperlink"/>
    <w:semiHidden/>
    <w:rsid w:val="009B5337"/>
    <w:rPr>
      <w:rFonts w:ascii="Times New Roman" w:hAnsi="Times New Roman" w:cs="Times New Roman"/>
      <w:color w:val="0000FF"/>
      <w:u w:val="single"/>
    </w:rPr>
  </w:style>
  <w:style w:type="paragraph" w:styleId="Taandegakehatekst">
    <w:name w:val="Body Text Indent"/>
    <w:basedOn w:val="Normaallaad"/>
    <w:link w:val="TaandegakehatekstMrk"/>
    <w:semiHidden/>
    <w:rsid w:val="009B5337"/>
    <w:pPr>
      <w:autoSpaceDE w:val="0"/>
      <w:autoSpaceDN w:val="0"/>
    </w:pPr>
    <w:rPr>
      <w:noProof/>
      <w:lang w:eastAsia="et-EE"/>
    </w:rPr>
  </w:style>
  <w:style w:type="character" w:customStyle="1" w:styleId="TaandegakehatekstMrk">
    <w:name w:val="Taandega kehatekst Märk"/>
    <w:basedOn w:val="Liguvaikefont"/>
    <w:link w:val="Taandegakehatekst"/>
    <w:semiHidden/>
    <w:rsid w:val="009B5337"/>
    <w:rPr>
      <w:rFonts w:ascii="Times New Roman" w:eastAsia="Times New Roman" w:hAnsi="Times New Roman" w:cs="Times New Roman"/>
      <w:noProof/>
      <w:sz w:val="24"/>
      <w:szCs w:val="24"/>
      <w:lang w:eastAsia="et-EE"/>
    </w:rPr>
  </w:style>
  <w:style w:type="paragraph" w:customStyle="1" w:styleId="phitekst11">
    <w:name w:val="põhitekst 1.1"/>
    <w:basedOn w:val="Pealkiri2"/>
    <w:rsid w:val="009B5337"/>
    <w:pPr>
      <w:keepNext w:val="0"/>
      <w:tabs>
        <w:tab w:val="num" w:pos="643"/>
      </w:tabs>
      <w:ind w:left="643" w:hanging="360"/>
      <w:jc w:val="both"/>
    </w:pPr>
    <w:rPr>
      <w:b w:val="0"/>
      <w:bCs w:val="0"/>
      <w:noProof w:val="0"/>
      <w:lang w:val="x-none"/>
    </w:rPr>
  </w:style>
  <w:style w:type="paragraph" w:styleId="HTML-eelvormindatud">
    <w:name w:val="HTML Preformatted"/>
    <w:basedOn w:val="Normaallaad"/>
    <w:link w:val="HTML-eelvormindatudMrk"/>
    <w:semiHidden/>
    <w:rsid w:val="009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eelvormindatudMrk">
    <w:name w:val="HTML-eelvormindatud Märk"/>
    <w:basedOn w:val="Liguvaikefont"/>
    <w:link w:val="HTML-eelvormindatud"/>
    <w:semiHidden/>
    <w:rsid w:val="009B5337"/>
    <w:rPr>
      <w:rFonts w:ascii="Courier New" w:eastAsia="Times New Roman" w:hAnsi="Courier New" w:cs="Courier New"/>
      <w:sz w:val="20"/>
      <w:szCs w:val="20"/>
      <w:lang w:eastAsia="et-EE"/>
    </w:rPr>
  </w:style>
  <w:style w:type="paragraph" w:styleId="Pealkiri">
    <w:name w:val="Title"/>
    <w:basedOn w:val="Normaallaad"/>
    <w:link w:val="PealkiriMrk"/>
    <w:qFormat/>
    <w:rsid w:val="00FC11AF"/>
    <w:pPr>
      <w:jc w:val="center"/>
    </w:pPr>
    <w:rPr>
      <w:b/>
      <w:sz w:val="40"/>
      <w:szCs w:val="40"/>
    </w:rPr>
  </w:style>
  <w:style w:type="character" w:customStyle="1" w:styleId="PealkiriMrk">
    <w:name w:val="Pealkiri Märk"/>
    <w:basedOn w:val="Liguvaikefont"/>
    <w:link w:val="Pealkiri"/>
    <w:rsid w:val="00FC11AF"/>
    <w:rPr>
      <w:rFonts w:ascii="Times New Roman" w:eastAsia="Times New Roman" w:hAnsi="Times New Roman"/>
      <w:b/>
      <w:sz w:val="40"/>
      <w:szCs w:val="40"/>
      <w:lang w:eastAsia="en-US"/>
    </w:rPr>
  </w:style>
  <w:style w:type="paragraph" w:styleId="Loendilik">
    <w:name w:val="List Paragraph"/>
    <w:basedOn w:val="Normaallaad"/>
    <w:uiPriority w:val="34"/>
    <w:qFormat/>
    <w:rsid w:val="00B61A86"/>
    <w:pPr>
      <w:ind w:left="720"/>
      <w:contextualSpacing/>
    </w:pPr>
  </w:style>
  <w:style w:type="character" w:styleId="Kommentaariviide">
    <w:name w:val="annotation reference"/>
    <w:basedOn w:val="Liguvaikefont"/>
    <w:uiPriority w:val="99"/>
    <w:semiHidden/>
    <w:unhideWhenUsed/>
    <w:rsid w:val="00211C88"/>
    <w:rPr>
      <w:sz w:val="16"/>
      <w:szCs w:val="16"/>
    </w:rPr>
  </w:style>
  <w:style w:type="paragraph" w:styleId="Kommentaaritekst">
    <w:name w:val="annotation text"/>
    <w:basedOn w:val="Normaallaad"/>
    <w:link w:val="KommentaaritekstMrk"/>
    <w:uiPriority w:val="99"/>
    <w:semiHidden/>
    <w:unhideWhenUsed/>
    <w:rsid w:val="00211C88"/>
    <w:rPr>
      <w:sz w:val="20"/>
      <w:szCs w:val="20"/>
    </w:rPr>
  </w:style>
  <w:style w:type="character" w:customStyle="1" w:styleId="KommentaaritekstMrk">
    <w:name w:val="Kommentaari tekst Märk"/>
    <w:basedOn w:val="Liguvaikefont"/>
    <w:link w:val="Kommentaaritekst"/>
    <w:uiPriority w:val="99"/>
    <w:semiHidden/>
    <w:rsid w:val="00211C88"/>
    <w:rPr>
      <w:rFonts w:ascii="Times New Roman" w:eastAsia="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211C88"/>
    <w:rPr>
      <w:b/>
      <w:bCs/>
    </w:rPr>
  </w:style>
  <w:style w:type="character" w:customStyle="1" w:styleId="KommentaariteemaMrk">
    <w:name w:val="Kommentaari teema Märk"/>
    <w:basedOn w:val="KommentaaritekstMrk"/>
    <w:link w:val="Kommentaariteema"/>
    <w:uiPriority w:val="99"/>
    <w:semiHidden/>
    <w:rsid w:val="00211C88"/>
    <w:rPr>
      <w:rFonts w:ascii="Times New Roman" w:eastAsia="Times New Roman" w:hAnsi="Times New Roman"/>
      <w:b/>
      <w:bCs/>
      <w:lang w:eastAsia="en-US"/>
    </w:rPr>
  </w:style>
  <w:style w:type="paragraph" w:styleId="Jutumullitekst">
    <w:name w:val="Balloon Text"/>
    <w:basedOn w:val="Normaallaad"/>
    <w:link w:val="JutumullitekstMrk"/>
    <w:uiPriority w:val="99"/>
    <w:semiHidden/>
    <w:unhideWhenUsed/>
    <w:rsid w:val="00211C8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11C88"/>
    <w:rPr>
      <w:rFonts w:ascii="Segoe UI" w:eastAsia="Times New Roman" w:hAnsi="Segoe UI" w:cs="Segoe UI"/>
      <w:sz w:val="18"/>
      <w:szCs w:val="18"/>
      <w:lang w:eastAsia="en-US"/>
    </w:rPr>
  </w:style>
  <w:style w:type="character" w:customStyle="1" w:styleId="Mainimine1">
    <w:name w:val="Mainimine1"/>
    <w:basedOn w:val="Liguvaikefont"/>
    <w:uiPriority w:val="99"/>
    <w:semiHidden/>
    <w:unhideWhenUsed/>
    <w:rsid w:val="00B1169A"/>
    <w:rPr>
      <w:color w:val="2B579A"/>
      <w:shd w:val="clear" w:color="auto" w:fill="E6E6E6"/>
    </w:rPr>
  </w:style>
  <w:style w:type="character" w:styleId="Lahendamatamainimine">
    <w:name w:val="Unresolved Mention"/>
    <w:basedOn w:val="Liguvaikefont"/>
    <w:uiPriority w:val="99"/>
    <w:semiHidden/>
    <w:unhideWhenUsed/>
    <w:rsid w:val="00F7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p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1F87-A422-4BB9-BA34-95A9E79E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1898</Words>
  <Characters>11013</Characters>
  <Application>Microsoft Office Word</Application>
  <DocSecurity>0</DocSecurity>
  <Lines>91</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12886</CharactersWithSpaces>
  <SharedDoc>false</SharedDoc>
  <HLinks>
    <vt:vector size="18" baseType="variant">
      <vt:variant>
        <vt:i4>16121948</vt:i4>
      </vt:variant>
      <vt:variant>
        <vt:i4>6</vt:i4>
      </vt:variant>
      <vt:variant>
        <vt:i4>0</vt:i4>
      </vt:variant>
      <vt:variant>
        <vt:i4>5</vt:i4>
      </vt:variant>
      <vt:variant>
        <vt:lpwstr>mailto:info@särts.ee</vt:lpwstr>
      </vt:variant>
      <vt:variant>
        <vt:lpwstr/>
      </vt:variant>
      <vt:variant>
        <vt:i4>6553653</vt:i4>
      </vt:variant>
      <vt:variant>
        <vt:i4>3</vt:i4>
      </vt:variant>
      <vt:variant>
        <vt:i4>0</vt:i4>
      </vt:variant>
      <vt:variant>
        <vt:i4>5</vt:i4>
      </vt:variant>
      <vt:variant>
        <vt:lpwstr>http://www.tapa.ee/</vt:lpwstr>
      </vt:variant>
      <vt:variant>
        <vt:lpwstr/>
      </vt:variant>
      <vt:variant>
        <vt:i4>7733310</vt:i4>
      </vt:variant>
      <vt:variant>
        <vt:i4>0</vt:i4>
      </vt:variant>
      <vt:variant>
        <vt:i4>0</vt:i4>
      </vt:variant>
      <vt:variant>
        <vt:i4>5</vt:i4>
      </vt:variant>
      <vt:variant>
        <vt:lpwstr>http://194.106.104.19/tarvo/Eha projekt.zip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EneO</dc:creator>
  <cp:keywords/>
  <dc:description/>
  <cp:lastModifiedBy>Ene Orgusaar</cp:lastModifiedBy>
  <cp:revision>3</cp:revision>
  <dcterms:created xsi:type="dcterms:W3CDTF">2020-03-27T07:34:00Z</dcterms:created>
  <dcterms:modified xsi:type="dcterms:W3CDTF">2020-03-27T08:05:00Z</dcterms:modified>
</cp:coreProperties>
</file>